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58" w:rsidRPr="00C562D6" w:rsidRDefault="00714558" w:rsidP="00714558">
      <w:pPr>
        <w:spacing w:line="480" w:lineRule="auto"/>
        <w:jc w:val="center"/>
        <w:rPr>
          <w:rFonts w:ascii="Times New Roman" w:hAnsi="Times New Roman" w:cs="Times New Roman"/>
          <w:sz w:val="40"/>
          <w:szCs w:val="40"/>
        </w:rPr>
      </w:pPr>
      <w:r w:rsidRPr="00C562D6">
        <w:rPr>
          <w:rFonts w:ascii="Times New Roman" w:hAnsi="Times New Roman" w:cs="Times New Roman"/>
          <w:b/>
          <w:bCs/>
          <w:iCs/>
          <w:sz w:val="40"/>
          <w:szCs w:val="40"/>
        </w:rPr>
        <w:t xml:space="preserve">Embedding </w:t>
      </w:r>
      <w:proofErr w:type="spellStart"/>
      <w:r w:rsidRPr="00C562D6">
        <w:rPr>
          <w:rFonts w:ascii="Times New Roman" w:hAnsi="Times New Roman" w:cs="Times New Roman"/>
          <w:b/>
          <w:bCs/>
          <w:iCs/>
          <w:sz w:val="40"/>
          <w:szCs w:val="40"/>
        </w:rPr>
        <w:t>financialisation</w:t>
      </w:r>
      <w:proofErr w:type="spellEnd"/>
      <w:r w:rsidRPr="00C562D6">
        <w:rPr>
          <w:rFonts w:ascii="Times New Roman" w:hAnsi="Times New Roman" w:cs="Times New Roman"/>
          <w:b/>
          <w:bCs/>
          <w:iCs/>
          <w:sz w:val="40"/>
          <w:szCs w:val="40"/>
        </w:rPr>
        <w:t>:</w:t>
      </w:r>
      <w:r w:rsidR="00C97979" w:rsidRPr="00C562D6">
        <w:rPr>
          <w:rFonts w:ascii="Times New Roman" w:hAnsi="Times New Roman" w:cs="Times New Roman"/>
          <w:b/>
          <w:bCs/>
          <w:iCs/>
          <w:sz w:val="40"/>
          <w:szCs w:val="40"/>
        </w:rPr>
        <w:t xml:space="preserve"> A policy review of </w:t>
      </w:r>
      <w:r w:rsidRPr="00C562D6">
        <w:rPr>
          <w:rFonts w:ascii="Times New Roman" w:hAnsi="Times New Roman" w:cs="Times New Roman"/>
          <w:b/>
          <w:bCs/>
          <w:iCs/>
          <w:sz w:val="40"/>
          <w:szCs w:val="40"/>
        </w:rPr>
        <w:t>the</w:t>
      </w:r>
      <w:r w:rsidRPr="00C562D6">
        <w:rPr>
          <w:rFonts w:ascii="Times New Roman" w:hAnsi="Times New Roman" w:cs="Times New Roman"/>
          <w:b/>
          <w:bCs/>
          <w:i/>
          <w:iCs/>
          <w:sz w:val="40"/>
          <w:szCs w:val="40"/>
        </w:rPr>
        <w:t xml:space="preserve"> Affordable Homes Programme</w:t>
      </w:r>
    </w:p>
    <w:p w:rsidR="00714558" w:rsidRPr="00C562D6" w:rsidRDefault="00562F14" w:rsidP="00714558">
      <w:pPr>
        <w:spacing w:line="360" w:lineRule="auto"/>
        <w:ind w:left="360"/>
        <w:jc w:val="center"/>
        <w:rPr>
          <w:rFonts w:ascii="Times New Roman" w:hAnsi="Times New Roman" w:cs="Times New Roman"/>
        </w:rPr>
      </w:pPr>
      <w:r w:rsidRPr="00C562D6">
        <w:rPr>
          <w:rFonts w:ascii="Times New Roman" w:hAnsi="Times New Roman" w:cs="Times New Roman"/>
        </w:rPr>
        <w:t>Policy and Politics</w:t>
      </w:r>
      <w:r w:rsidR="00714558" w:rsidRPr="00C562D6">
        <w:rPr>
          <w:rFonts w:ascii="Times New Roman" w:hAnsi="Times New Roman" w:cs="Times New Roman"/>
        </w:rPr>
        <w:t xml:space="preserve"> Conference</w:t>
      </w:r>
    </w:p>
    <w:p w:rsidR="00714558" w:rsidRPr="00C562D6" w:rsidRDefault="00562F14" w:rsidP="00714558">
      <w:pPr>
        <w:spacing w:line="360" w:lineRule="auto"/>
        <w:ind w:left="360"/>
        <w:jc w:val="center"/>
        <w:rPr>
          <w:rFonts w:ascii="Times New Roman" w:hAnsi="Times New Roman" w:cs="Times New Roman"/>
        </w:rPr>
      </w:pPr>
      <w:r w:rsidRPr="00C562D6">
        <w:rPr>
          <w:rFonts w:ascii="Times New Roman" w:hAnsi="Times New Roman" w:cs="Times New Roman"/>
        </w:rPr>
        <w:t>September</w:t>
      </w:r>
      <w:r w:rsidR="00714558" w:rsidRPr="00C562D6">
        <w:rPr>
          <w:rFonts w:ascii="Times New Roman" w:hAnsi="Times New Roman" w:cs="Times New Roman"/>
        </w:rPr>
        <w:t xml:space="preserve"> 2015</w:t>
      </w:r>
    </w:p>
    <w:p w:rsidR="00714558" w:rsidRPr="00C562D6" w:rsidRDefault="00714558" w:rsidP="00714558">
      <w:pPr>
        <w:spacing w:line="360" w:lineRule="auto"/>
        <w:ind w:left="360"/>
        <w:jc w:val="center"/>
        <w:rPr>
          <w:rFonts w:ascii="Times New Roman" w:hAnsi="Times New Roman" w:cs="Times New Roman"/>
          <w:b/>
          <w:bCs/>
          <w:sz w:val="32"/>
        </w:rPr>
      </w:pPr>
    </w:p>
    <w:p w:rsidR="00714558" w:rsidRPr="00C562D6" w:rsidRDefault="00714558" w:rsidP="00714558">
      <w:pPr>
        <w:spacing w:line="360" w:lineRule="auto"/>
        <w:jc w:val="center"/>
        <w:rPr>
          <w:rFonts w:ascii="Times New Roman" w:hAnsi="Times New Roman" w:cs="Times New Roman"/>
          <w:b/>
          <w:bCs/>
          <w:sz w:val="32"/>
        </w:rPr>
      </w:pPr>
      <w:r w:rsidRPr="00C562D6">
        <w:rPr>
          <w:rFonts w:ascii="Times New Roman" w:hAnsi="Times New Roman" w:cs="Times New Roman"/>
          <w:b/>
          <w:bCs/>
          <w:sz w:val="32"/>
        </w:rPr>
        <w:t xml:space="preserve">Stewart Smyth, </w:t>
      </w:r>
    </w:p>
    <w:p w:rsidR="00714558" w:rsidRPr="00C562D6" w:rsidRDefault="00714558" w:rsidP="00714558">
      <w:pPr>
        <w:spacing w:line="360" w:lineRule="auto"/>
        <w:jc w:val="center"/>
        <w:rPr>
          <w:rFonts w:ascii="Times New Roman" w:hAnsi="Times New Roman" w:cs="Times New Roman"/>
          <w:i/>
          <w:iCs/>
          <w:sz w:val="32"/>
        </w:rPr>
      </w:pPr>
      <w:r w:rsidRPr="00C562D6">
        <w:rPr>
          <w:rFonts w:ascii="Times New Roman" w:hAnsi="Times New Roman" w:cs="Times New Roman"/>
          <w:i/>
          <w:iCs/>
          <w:sz w:val="32"/>
        </w:rPr>
        <w:t>Senior Lecturer in Accounting,</w:t>
      </w:r>
    </w:p>
    <w:p w:rsidR="00714558" w:rsidRPr="00C562D6" w:rsidRDefault="00714558" w:rsidP="00714558">
      <w:pPr>
        <w:spacing w:line="360" w:lineRule="auto"/>
        <w:jc w:val="center"/>
        <w:rPr>
          <w:rFonts w:ascii="Times New Roman" w:hAnsi="Times New Roman" w:cs="Times New Roman"/>
          <w:color w:val="222222"/>
          <w:sz w:val="28"/>
          <w:szCs w:val="28"/>
          <w:shd w:val="clear" w:color="auto" w:fill="FFFFFF"/>
        </w:rPr>
      </w:pPr>
      <w:r w:rsidRPr="00C562D6">
        <w:rPr>
          <w:rFonts w:ascii="Times New Roman" w:hAnsi="Times New Roman" w:cs="Times New Roman"/>
          <w:i/>
          <w:iCs/>
          <w:sz w:val="32"/>
          <w:szCs w:val="32"/>
        </w:rPr>
        <w:t xml:space="preserve"> </w:t>
      </w:r>
      <w:r w:rsidRPr="00C562D6">
        <w:rPr>
          <w:rFonts w:ascii="Times New Roman" w:hAnsi="Times New Roman" w:cs="Times New Roman"/>
          <w:color w:val="222222"/>
          <w:sz w:val="28"/>
          <w:szCs w:val="28"/>
          <w:shd w:val="clear" w:color="auto" w:fill="FFFFFF"/>
        </w:rPr>
        <w:t>Co-Director,</w:t>
      </w:r>
    </w:p>
    <w:p w:rsidR="00714558" w:rsidRPr="00C562D6" w:rsidRDefault="00714558" w:rsidP="00714558">
      <w:pPr>
        <w:spacing w:line="360" w:lineRule="auto"/>
        <w:jc w:val="center"/>
        <w:rPr>
          <w:rFonts w:ascii="Times New Roman" w:hAnsi="Times New Roman" w:cs="Times New Roman"/>
          <w:i/>
          <w:iCs/>
          <w:sz w:val="28"/>
          <w:szCs w:val="28"/>
        </w:rPr>
      </w:pPr>
      <w:r w:rsidRPr="00C562D6">
        <w:rPr>
          <w:rStyle w:val="apple-converted-space"/>
          <w:rFonts w:ascii="Times New Roman" w:hAnsi="Times New Roman" w:cs="Times New Roman"/>
          <w:color w:val="222222"/>
          <w:sz w:val="28"/>
          <w:szCs w:val="28"/>
          <w:shd w:val="clear" w:color="auto" w:fill="FFFFFF"/>
        </w:rPr>
        <w:t> </w:t>
      </w:r>
      <w:hyperlink r:id="rId9" w:tgtFrame="_blank" w:history="1">
        <w:r w:rsidRPr="00C562D6">
          <w:rPr>
            <w:rStyle w:val="Hyperlink"/>
            <w:rFonts w:ascii="Times New Roman" w:hAnsi="Times New Roman" w:cs="Times New Roman"/>
            <w:color w:val="1155CC"/>
            <w:sz w:val="28"/>
            <w:szCs w:val="28"/>
            <w:shd w:val="clear" w:color="auto" w:fill="FFFFFF"/>
          </w:rPr>
          <w:t>The Centre for Research into Accounting and Finance in Context (</w:t>
        </w:r>
        <w:proofErr w:type="spellStart"/>
        <w:r w:rsidRPr="00C562D6">
          <w:rPr>
            <w:rStyle w:val="Hyperlink"/>
            <w:rFonts w:ascii="Times New Roman" w:hAnsi="Times New Roman" w:cs="Times New Roman"/>
            <w:color w:val="1155CC"/>
            <w:sz w:val="28"/>
            <w:szCs w:val="28"/>
            <w:shd w:val="clear" w:color="auto" w:fill="FFFFFF"/>
          </w:rPr>
          <w:t>CRAFiC</w:t>
        </w:r>
        <w:proofErr w:type="spellEnd"/>
        <w:r w:rsidRPr="00C562D6">
          <w:rPr>
            <w:rStyle w:val="Hyperlink"/>
            <w:rFonts w:ascii="Times New Roman" w:hAnsi="Times New Roman" w:cs="Times New Roman"/>
            <w:color w:val="1155CC"/>
            <w:sz w:val="28"/>
            <w:szCs w:val="28"/>
            <w:shd w:val="clear" w:color="auto" w:fill="FFFFFF"/>
          </w:rPr>
          <w:t>)</w:t>
        </w:r>
      </w:hyperlink>
    </w:p>
    <w:p w:rsidR="00714558" w:rsidRPr="00C562D6" w:rsidRDefault="00714558" w:rsidP="00714558">
      <w:pPr>
        <w:spacing w:line="360" w:lineRule="auto"/>
        <w:jc w:val="center"/>
        <w:rPr>
          <w:rFonts w:ascii="Times New Roman" w:hAnsi="Times New Roman" w:cs="Times New Roman"/>
          <w:i/>
          <w:iCs/>
          <w:sz w:val="32"/>
        </w:rPr>
      </w:pPr>
      <w:r w:rsidRPr="00C562D6">
        <w:rPr>
          <w:rFonts w:ascii="Times New Roman" w:hAnsi="Times New Roman" w:cs="Times New Roman"/>
          <w:i/>
          <w:iCs/>
          <w:sz w:val="32"/>
        </w:rPr>
        <w:t>Sheffield University Management School</w:t>
      </w:r>
    </w:p>
    <w:p w:rsidR="00714558" w:rsidRPr="00C562D6" w:rsidRDefault="00714558" w:rsidP="00714558">
      <w:pPr>
        <w:spacing w:line="360" w:lineRule="auto"/>
        <w:jc w:val="center"/>
        <w:rPr>
          <w:rFonts w:ascii="Times New Roman" w:hAnsi="Times New Roman" w:cs="Times New Roman"/>
          <w:b/>
          <w:bCs/>
        </w:rPr>
      </w:pPr>
    </w:p>
    <w:p w:rsidR="00714558" w:rsidRPr="00C562D6" w:rsidRDefault="00714558" w:rsidP="00714558">
      <w:pPr>
        <w:spacing w:line="360" w:lineRule="auto"/>
        <w:jc w:val="center"/>
        <w:rPr>
          <w:rFonts w:ascii="Times New Roman" w:hAnsi="Times New Roman" w:cs="Times New Roman"/>
          <w:b/>
          <w:bCs/>
        </w:rPr>
      </w:pPr>
    </w:p>
    <w:p w:rsidR="00714558" w:rsidRPr="00C562D6" w:rsidRDefault="00714558" w:rsidP="00714558">
      <w:pPr>
        <w:rPr>
          <w:rFonts w:ascii="Times New Roman" w:hAnsi="Times New Roman" w:cs="Times New Roman"/>
          <w:b/>
          <w:bCs/>
        </w:rPr>
      </w:pPr>
      <w:r w:rsidRPr="00C562D6">
        <w:rPr>
          <w:rFonts w:ascii="Times New Roman" w:hAnsi="Times New Roman" w:cs="Times New Roman"/>
          <w:b/>
          <w:bCs/>
        </w:rPr>
        <w:t>Address for correspondence:</w:t>
      </w:r>
    </w:p>
    <w:p w:rsidR="00714558" w:rsidRPr="00C562D6" w:rsidRDefault="00714558" w:rsidP="00714558">
      <w:pPr>
        <w:pStyle w:val="Footer"/>
        <w:rPr>
          <w:rFonts w:ascii="Times New Roman" w:hAnsi="Times New Roman" w:cs="Times New Roman"/>
          <w:szCs w:val="24"/>
        </w:rPr>
      </w:pPr>
      <w:r w:rsidRPr="00C562D6">
        <w:rPr>
          <w:rFonts w:ascii="Times New Roman" w:hAnsi="Times New Roman" w:cs="Times New Roman"/>
          <w:color w:val="222222"/>
          <w:szCs w:val="24"/>
          <w:shd w:val="clear" w:color="auto" w:fill="FFFFFF"/>
        </w:rPr>
        <w:t>Sheffield University Management School</w:t>
      </w:r>
      <w:r w:rsidRPr="00C562D6">
        <w:rPr>
          <w:rFonts w:ascii="Times New Roman" w:hAnsi="Times New Roman" w:cs="Times New Roman"/>
          <w:color w:val="222222"/>
          <w:szCs w:val="24"/>
        </w:rPr>
        <w:br/>
      </w:r>
      <w:r w:rsidRPr="00C562D6">
        <w:rPr>
          <w:rFonts w:ascii="Times New Roman" w:hAnsi="Times New Roman" w:cs="Times New Roman"/>
          <w:color w:val="222222"/>
          <w:szCs w:val="24"/>
          <w:shd w:val="clear" w:color="auto" w:fill="FFFFFF"/>
        </w:rPr>
        <w:t>Conduit Road</w:t>
      </w:r>
      <w:r w:rsidRPr="00C562D6">
        <w:rPr>
          <w:rFonts w:ascii="Times New Roman" w:hAnsi="Times New Roman" w:cs="Times New Roman"/>
          <w:color w:val="222222"/>
          <w:szCs w:val="24"/>
        </w:rPr>
        <w:br/>
      </w:r>
      <w:r w:rsidRPr="00C562D6">
        <w:rPr>
          <w:rFonts w:ascii="Times New Roman" w:hAnsi="Times New Roman" w:cs="Times New Roman"/>
          <w:color w:val="222222"/>
          <w:szCs w:val="24"/>
          <w:shd w:val="clear" w:color="auto" w:fill="FFFFFF"/>
        </w:rPr>
        <w:t>Sheffield</w:t>
      </w:r>
      <w:r w:rsidRPr="00C562D6">
        <w:rPr>
          <w:rFonts w:ascii="Times New Roman" w:hAnsi="Times New Roman" w:cs="Times New Roman"/>
          <w:color w:val="222222"/>
          <w:szCs w:val="24"/>
        </w:rPr>
        <w:br/>
      </w:r>
      <w:r w:rsidRPr="00C562D6">
        <w:rPr>
          <w:rFonts w:ascii="Times New Roman" w:hAnsi="Times New Roman" w:cs="Times New Roman"/>
          <w:color w:val="222222"/>
          <w:szCs w:val="24"/>
          <w:shd w:val="clear" w:color="auto" w:fill="FFFFFF"/>
        </w:rPr>
        <w:t>S10 1FL</w:t>
      </w:r>
      <w:r w:rsidRPr="00C562D6">
        <w:rPr>
          <w:rFonts w:ascii="Times New Roman" w:hAnsi="Times New Roman" w:cs="Times New Roman"/>
          <w:color w:val="222222"/>
          <w:szCs w:val="24"/>
        </w:rPr>
        <w:br/>
      </w:r>
      <w:r w:rsidRPr="00C562D6">
        <w:rPr>
          <w:rFonts w:ascii="Times New Roman" w:hAnsi="Times New Roman" w:cs="Times New Roman"/>
          <w:color w:val="222222"/>
          <w:szCs w:val="24"/>
          <w:shd w:val="clear" w:color="auto" w:fill="FFFFFF"/>
        </w:rPr>
        <w:t>UK</w:t>
      </w:r>
      <w:r w:rsidRPr="00C562D6">
        <w:rPr>
          <w:rFonts w:ascii="Times New Roman" w:hAnsi="Times New Roman" w:cs="Times New Roman"/>
          <w:color w:val="222222"/>
          <w:szCs w:val="24"/>
        </w:rPr>
        <w:br/>
      </w:r>
      <w:r w:rsidRPr="00C562D6">
        <w:rPr>
          <w:rFonts w:ascii="Times New Roman" w:hAnsi="Times New Roman" w:cs="Times New Roman"/>
          <w:color w:val="222222"/>
          <w:szCs w:val="24"/>
        </w:rPr>
        <w:br/>
      </w:r>
      <w:r w:rsidRPr="00C562D6">
        <w:rPr>
          <w:rFonts w:ascii="Times New Roman" w:hAnsi="Times New Roman" w:cs="Times New Roman"/>
          <w:color w:val="222222"/>
          <w:szCs w:val="24"/>
          <w:shd w:val="clear" w:color="auto" w:fill="FFFFFF"/>
        </w:rPr>
        <w:t>Telephone:</w:t>
      </w:r>
      <w:r w:rsidRPr="00C562D6">
        <w:rPr>
          <w:rStyle w:val="apple-converted-space"/>
          <w:rFonts w:ascii="Times New Roman" w:hAnsi="Times New Roman" w:cs="Times New Roman"/>
          <w:color w:val="222222"/>
          <w:szCs w:val="24"/>
          <w:shd w:val="clear" w:color="auto" w:fill="FFFFFF"/>
        </w:rPr>
        <w:t> </w:t>
      </w:r>
      <w:r w:rsidRPr="00C562D6">
        <w:rPr>
          <w:rFonts w:ascii="Times New Roman" w:hAnsi="Times New Roman" w:cs="Times New Roman"/>
          <w:szCs w:val="24"/>
        </w:rPr>
        <w:t>+44 (0)114-222-3478</w:t>
      </w:r>
    </w:p>
    <w:p w:rsidR="00714558" w:rsidRPr="00C562D6" w:rsidRDefault="00714558" w:rsidP="00714558">
      <w:pPr>
        <w:pStyle w:val="Footer"/>
        <w:rPr>
          <w:rFonts w:ascii="Times New Roman" w:hAnsi="Times New Roman" w:cs="Times New Roman"/>
          <w:szCs w:val="24"/>
        </w:rPr>
      </w:pPr>
      <w:r w:rsidRPr="00C562D6">
        <w:rPr>
          <w:rFonts w:ascii="Times New Roman" w:hAnsi="Times New Roman" w:cs="Times New Roman"/>
          <w:szCs w:val="24"/>
        </w:rPr>
        <w:t xml:space="preserve">Email: </w:t>
      </w:r>
      <w:hyperlink r:id="rId10" w:history="1">
        <w:r w:rsidRPr="00C562D6">
          <w:rPr>
            <w:rStyle w:val="Hyperlink"/>
            <w:rFonts w:ascii="Times New Roman" w:hAnsi="Times New Roman" w:cs="Times New Roman"/>
            <w:szCs w:val="24"/>
          </w:rPr>
          <w:t>s.j.smyth@sheffield.ac.uk</w:t>
        </w:r>
      </w:hyperlink>
    </w:p>
    <w:p w:rsidR="00714558" w:rsidRPr="00C562D6" w:rsidRDefault="00714558" w:rsidP="00714558">
      <w:pPr>
        <w:pStyle w:val="Footer"/>
        <w:rPr>
          <w:rFonts w:ascii="Times New Roman" w:hAnsi="Times New Roman" w:cs="Times New Roman"/>
        </w:rPr>
      </w:pPr>
    </w:p>
    <w:p w:rsidR="00714558" w:rsidRPr="00C562D6" w:rsidRDefault="00714558" w:rsidP="00714558">
      <w:pPr>
        <w:jc w:val="both"/>
        <w:rPr>
          <w:rFonts w:ascii="Times New Roman" w:hAnsi="Times New Roman" w:cs="Times New Roman"/>
          <w:b/>
          <w:bCs/>
          <w:szCs w:val="24"/>
        </w:rPr>
      </w:pPr>
    </w:p>
    <w:p w:rsidR="00714558" w:rsidRPr="00C562D6" w:rsidRDefault="00714558" w:rsidP="00714558">
      <w:pPr>
        <w:spacing w:line="360" w:lineRule="auto"/>
        <w:jc w:val="both"/>
        <w:rPr>
          <w:rFonts w:ascii="Times New Roman" w:hAnsi="Times New Roman" w:cs="Times New Roman"/>
          <w:szCs w:val="24"/>
        </w:rPr>
      </w:pPr>
      <w:r w:rsidRPr="00C562D6">
        <w:rPr>
          <w:rFonts w:ascii="Times New Roman" w:hAnsi="Times New Roman" w:cs="Times New Roman"/>
          <w:b/>
          <w:bCs/>
          <w:szCs w:val="24"/>
        </w:rPr>
        <w:t xml:space="preserve">Acknowledgement: </w:t>
      </w:r>
    </w:p>
    <w:p w:rsidR="00714558" w:rsidRPr="00C562D6" w:rsidRDefault="00714558" w:rsidP="00714558">
      <w:pPr>
        <w:spacing w:line="360" w:lineRule="auto"/>
        <w:jc w:val="both"/>
        <w:rPr>
          <w:rFonts w:ascii="Times New Roman" w:hAnsi="Times New Roman" w:cs="Times New Roman"/>
          <w:szCs w:val="24"/>
        </w:rPr>
      </w:pPr>
      <w:r w:rsidRPr="00C562D6">
        <w:rPr>
          <w:rFonts w:ascii="Times New Roman" w:hAnsi="Times New Roman" w:cs="Times New Roman"/>
          <w:szCs w:val="24"/>
        </w:rPr>
        <w:t xml:space="preserve">This paper is drawn from a larger research project funded by the Northern Ireland Housing Executive, </w:t>
      </w:r>
      <w:r w:rsidRPr="00C562D6">
        <w:rPr>
          <w:rFonts w:ascii="Times New Roman" w:hAnsi="Times New Roman" w:cs="Times New Roman"/>
          <w:i/>
          <w:szCs w:val="24"/>
        </w:rPr>
        <w:t>Funding Mechanisms for New Social Housing in Northern Ireland: A UK-wide Comparative Study.</w:t>
      </w:r>
      <w:r w:rsidRPr="00C562D6">
        <w:rPr>
          <w:rFonts w:ascii="Times New Roman" w:hAnsi="Times New Roman" w:cs="Times New Roman"/>
          <w:szCs w:val="24"/>
        </w:rPr>
        <w:t xml:space="preserve"> Any errors remain the responsibility of the author. </w:t>
      </w:r>
    </w:p>
    <w:p w:rsidR="00714558" w:rsidRPr="00C562D6" w:rsidRDefault="00714558">
      <w:pPr>
        <w:spacing w:after="200" w:line="276" w:lineRule="auto"/>
        <w:rPr>
          <w:rFonts w:ascii="Times New Roman" w:hAnsi="Times New Roman" w:cs="Times New Roman"/>
          <w:szCs w:val="24"/>
        </w:rPr>
      </w:pPr>
      <w:r w:rsidRPr="00C562D6">
        <w:rPr>
          <w:rFonts w:ascii="Times New Roman" w:hAnsi="Times New Roman" w:cs="Times New Roman"/>
          <w:szCs w:val="24"/>
        </w:rPr>
        <w:br w:type="page"/>
      </w:r>
    </w:p>
    <w:p w:rsidR="00703815" w:rsidRPr="00C562D6" w:rsidRDefault="00703815" w:rsidP="00714558">
      <w:pPr>
        <w:spacing w:line="360" w:lineRule="auto"/>
        <w:jc w:val="center"/>
        <w:rPr>
          <w:rFonts w:ascii="Times New Roman" w:hAnsi="Times New Roman" w:cs="Times New Roman"/>
          <w:b/>
          <w:i/>
          <w:u w:val="single"/>
        </w:rPr>
      </w:pPr>
      <w:r w:rsidRPr="00C562D6">
        <w:rPr>
          <w:rFonts w:ascii="Times New Roman" w:hAnsi="Times New Roman" w:cs="Times New Roman"/>
          <w:b/>
          <w:u w:val="single"/>
        </w:rPr>
        <w:lastRenderedPageBreak/>
        <w:t xml:space="preserve">Embedding financialization: a policy review of the </w:t>
      </w:r>
      <w:r w:rsidRPr="00C562D6">
        <w:rPr>
          <w:rFonts w:ascii="Times New Roman" w:hAnsi="Times New Roman" w:cs="Times New Roman"/>
          <w:b/>
          <w:i/>
          <w:u w:val="single"/>
        </w:rPr>
        <w:t>Affordable Homes Programme</w:t>
      </w:r>
    </w:p>
    <w:p w:rsidR="00703815" w:rsidRPr="00C562D6" w:rsidRDefault="00703815" w:rsidP="00703815">
      <w:pPr>
        <w:spacing w:line="480" w:lineRule="auto"/>
        <w:jc w:val="center"/>
        <w:rPr>
          <w:rFonts w:ascii="Times New Roman" w:hAnsi="Times New Roman" w:cs="Times New Roman"/>
          <w:i/>
        </w:rPr>
      </w:pPr>
      <w:r w:rsidRPr="00C562D6">
        <w:rPr>
          <w:rFonts w:ascii="Times New Roman" w:hAnsi="Times New Roman" w:cs="Times New Roman"/>
        </w:rPr>
        <w:t xml:space="preserve">Stewart Smyth, </w:t>
      </w:r>
      <w:r w:rsidRPr="00C562D6">
        <w:rPr>
          <w:rFonts w:ascii="Times New Roman" w:hAnsi="Times New Roman" w:cs="Times New Roman"/>
          <w:i/>
        </w:rPr>
        <w:t>Sheffield University Management School</w:t>
      </w:r>
    </w:p>
    <w:p w:rsidR="00703815" w:rsidRPr="00C562D6" w:rsidRDefault="00703815" w:rsidP="00240F6A">
      <w:pPr>
        <w:spacing w:after="240" w:line="480" w:lineRule="auto"/>
        <w:jc w:val="both"/>
        <w:rPr>
          <w:rFonts w:ascii="Times New Roman" w:hAnsi="Times New Roman" w:cs="Times New Roman"/>
        </w:rPr>
      </w:pPr>
      <w:r w:rsidRPr="00C562D6">
        <w:rPr>
          <w:rFonts w:ascii="Times New Roman" w:hAnsi="Times New Roman" w:cs="Times New Roman"/>
        </w:rPr>
        <w:t>Housing continues to be a concern for policy makers, providers and society at large. The housing market has exhibit</w:t>
      </w:r>
      <w:r w:rsidR="00E22A87" w:rsidRPr="00C562D6">
        <w:rPr>
          <w:rFonts w:ascii="Times New Roman" w:hAnsi="Times New Roman" w:cs="Times New Roman"/>
        </w:rPr>
        <w:t>ed</w:t>
      </w:r>
      <w:r w:rsidRPr="00C562D6">
        <w:rPr>
          <w:rFonts w:ascii="Times New Roman" w:hAnsi="Times New Roman" w:cs="Times New Roman"/>
        </w:rPr>
        <w:t xml:space="preserve"> dysfunctional characteristics with unsustainable price increases at one extreme and increases in eviction rates at the other. This paper contributes to the debate over the future of housing in England by reviewing the </w:t>
      </w:r>
      <w:r w:rsidRPr="00C562D6">
        <w:rPr>
          <w:rFonts w:ascii="Times New Roman" w:hAnsi="Times New Roman" w:cs="Times New Roman"/>
          <w:i/>
        </w:rPr>
        <w:t>Affordable Homes Programme</w:t>
      </w:r>
      <w:r w:rsidRPr="00C562D6">
        <w:rPr>
          <w:rFonts w:ascii="Times New Roman" w:hAnsi="Times New Roman" w:cs="Times New Roman"/>
        </w:rPr>
        <w:t xml:space="preserve"> (AHP) within a financialization framework.</w:t>
      </w:r>
    </w:p>
    <w:p w:rsidR="00703815" w:rsidRPr="00C562D6" w:rsidRDefault="00703815" w:rsidP="00240F6A">
      <w:pPr>
        <w:spacing w:after="240" w:line="480" w:lineRule="auto"/>
        <w:jc w:val="both"/>
        <w:rPr>
          <w:rFonts w:ascii="Times New Roman" w:hAnsi="Times New Roman" w:cs="Times New Roman"/>
        </w:rPr>
      </w:pPr>
      <w:r w:rsidRPr="00C562D6">
        <w:rPr>
          <w:rFonts w:ascii="Times New Roman" w:hAnsi="Times New Roman" w:cs="Times New Roman"/>
        </w:rPr>
        <w:t>A common policy conclu</w:t>
      </w:r>
      <w:r w:rsidR="00E22A87" w:rsidRPr="00C562D6">
        <w:rPr>
          <w:rFonts w:ascii="Times New Roman" w:hAnsi="Times New Roman" w:cs="Times New Roman"/>
        </w:rPr>
        <w:t>sion is</w:t>
      </w:r>
      <w:r w:rsidRPr="00C562D6">
        <w:rPr>
          <w:rFonts w:ascii="Times New Roman" w:hAnsi="Times New Roman" w:cs="Times New Roman"/>
        </w:rPr>
        <w:t xml:space="preserve"> that no</w:t>
      </w:r>
      <w:r w:rsidR="00E22A87" w:rsidRPr="00C562D6">
        <w:rPr>
          <w:rFonts w:ascii="Times New Roman" w:hAnsi="Times New Roman" w:cs="Times New Roman"/>
        </w:rPr>
        <w:t>t enough houses are being built,</w:t>
      </w:r>
      <w:r w:rsidRPr="00C562D6">
        <w:rPr>
          <w:rFonts w:ascii="Times New Roman" w:hAnsi="Times New Roman" w:cs="Times New Roman"/>
        </w:rPr>
        <w:t xml:space="preserve"> </w:t>
      </w:r>
      <w:r w:rsidR="00E22A87" w:rsidRPr="00C562D6">
        <w:rPr>
          <w:rFonts w:ascii="Times New Roman" w:hAnsi="Times New Roman" w:cs="Times New Roman"/>
        </w:rPr>
        <w:t>ex</w:t>
      </w:r>
      <w:r w:rsidRPr="00C562D6">
        <w:rPr>
          <w:rFonts w:ascii="Times New Roman" w:hAnsi="Times New Roman" w:cs="Times New Roman"/>
        </w:rPr>
        <w:t xml:space="preserve">acerbated </w:t>
      </w:r>
      <w:r w:rsidR="00206024" w:rsidRPr="00C562D6">
        <w:rPr>
          <w:rFonts w:ascii="Times New Roman" w:hAnsi="Times New Roman" w:cs="Times New Roman"/>
        </w:rPr>
        <w:t>by a lack of government funding and</w:t>
      </w:r>
      <w:r w:rsidRPr="00C562D6">
        <w:rPr>
          <w:rFonts w:ascii="Times New Roman" w:hAnsi="Times New Roman" w:cs="Times New Roman"/>
        </w:rPr>
        <w:t xml:space="preserve"> </w:t>
      </w:r>
      <w:r w:rsidR="00206024" w:rsidRPr="00C562D6">
        <w:rPr>
          <w:rFonts w:ascii="Times New Roman" w:hAnsi="Times New Roman" w:cs="Times New Roman"/>
        </w:rPr>
        <w:t>leading</w:t>
      </w:r>
      <w:r w:rsidRPr="00C562D6">
        <w:rPr>
          <w:rFonts w:ascii="Times New Roman" w:hAnsi="Times New Roman" w:cs="Times New Roman"/>
        </w:rPr>
        <w:t xml:space="preserve"> government policy </w:t>
      </w:r>
      <w:r w:rsidR="00206024" w:rsidRPr="00C562D6">
        <w:rPr>
          <w:rFonts w:ascii="Times New Roman" w:hAnsi="Times New Roman" w:cs="Times New Roman"/>
        </w:rPr>
        <w:t>to</w:t>
      </w:r>
      <w:r w:rsidRPr="00C562D6">
        <w:rPr>
          <w:rFonts w:ascii="Times New Roman" w:hAnsi="Times New Roman" w:cs="Times New Roman"/>
        </w:rPr>
        <w:t xml:space="preserve"> be </w:t>
      </w:r>
      <w:r w:rsidR="00562F14" w:rsidRPr="00C562D6">
        <w:rPr>
          <w:rFonts w:ascii="Times New Roman" w:hAnsi="Times New Roman" w:cs="Times New Roman"/>
        </w:rPr>
        <w:t>designed</w:t>
      </w:r>
      <w:r w:rsidRPr="00C562D6">
        <w:rPr>
          <w:rFonts w:ascii="Times New Roman" w:hAnsi="Times New Roman" w:cs="Times New Roman"/>
        </w:rPr>
        <w:t xml:space="preserve"> to deliver the maximum number of houses </w:t>
      </w:r>
      <w:r w:rsidR="00206024" w:rsidRPr="00C562D6">
        <w:rPr>
          <w:rFonts w:ascii="Times New Roman" w:hAnsi="Times New Roman" w:cs="Times New Roman"/>
        </w:rPr>
        <w:t>from</w:t>
      </w:r>
      <w:r w:rsidRPr="00C562D6">
        <w:rPr>
          <w:rFonts w:ascii="Times New Roman" w:hAnsi="Times New Roman" w:cs="Times New Roman"/>
        </w:rPr>
        <w:t xml:space="preserve"> the limited amount of public funding available. Through the course of two </w:t>
      </w:r>
      <w:r w:rsidR="006226FD" w:rsidRPr="00C562D6">
        <w:rPr>
          <w:rFonts w:ascii="Times New Roman" w:hAnsi="Times New Roman" w:cs="Times New Roman"/>
          <w:i/>
        </w:rPr>
        <w:t>AHPs</w:t>
      </w:r>
      <w:r w:rsidRPr="00C562D6">
        <w:rPr>
          <w:rFonts w:ascii="Times New Roman" w:hAnsi="Times New Roman" w:cs="Times New Roman"/>
        </w:rPr>
        <w:t xml:space="preserve"> (2011-15, and 2015-18),</w:t>
      </w:r>
      <w:r w:rsidR="00206024" w:rsidRPr="00C562D6">
        <w:rPr>
          <w:rFonts w:ascii="Times New Roman" w:hAnsi="Times New Roman" w:cs="Times New Roman"/>
        </w:rPr>
        <w:t xml:space="preserve"> the</w:t>
      </w:r>
      <w:r w:rsidRPr="00C562D6">
        <w:rPr>
          <w:rFonts w:ascii="Times New Roman" w:hAnsi="Times New Roman" w:cs="Times New Roman"/>
        </w:rPr>
        <w:t xml:space="preserve"> level of grant funding per home </w:t>
      </w:r>
      <w:r w:rsidR="00206024" w:rsidRPr="00C562D6">
        <w:rPr>
          <w:rFonts w:ascii="Times New Roman" w:hAnsi="Times New Roman" w:cs="Times New Roman"/>
        </w:rPr>
        <w:t>has been dramatically reduced</w:t>
      </w:r>
      <w:r w:rsidRPr="00C562D6">
        <w:rPr>
          <w:rFonts w:ascii="Times New Roman" w:hAnsi="Times New Roman" w:cs="Times New Roman"/>
        </w:rPr>
        <w:t xml:space="preserve">. The resulting </w:t>
      </w:r>
      <w:r w:rsidR="00206024" w:rsidRPr="00C562D6">
        <w:rPr>
          <w:rFonts w:ascii="Times New Roman" w:hAnsi="Times New Roman" w:cs="Times New Roman"/>
        </w:rPr>
        <w:t>shortfall</w:t>
      </w:r>
      <w:r w:rsidRPr="00C562D6">
        <w:rPr>
          <w:rFonts w:ascii="Times New Roman" w:hAnsi="Times New Roman" w:cs="Times New Roman"/>
        </w:rPr>
        <w:t xml:space="preserve"> is expected to be filled by developing housing associations own resources, the use of affordable rent products and increased borrowing.</w:t>
      </w:r>
    </w:p>
    <w:p w:rsidR="00703815" w:rsidRPr="00C562D6" w:rsidRDefault="00703815" w:rsidP="00240F6A">
      <w:pPr>
        <w:spacing w:line="480" w:lineRule="auto"/>
        <w:jc w:val="both"/>
        <w:rPr>
          <w:rFonts w:ascii="Times New Roman" w:hAnsi="Times New Roman" w:cs="Times New Roman"/>
          <w:b/>
          <w:szCs w:val="24"/>
        </w:rPr>
      </w:pPr>
      <w:r w:rsidRPr="00C562D6">
        <w:rPr>
          <w:rFonts w:ascii="Times New Roman" w:hAnsi="Times New Roman" w:cs="Times New Roman"/>
        </w:rPr>
        <w:t xml:space="preserve">To understand the potential impacts and sustainability of the AHPs this paper </w:t>
      </w:r>
      <w:r w:rsidR="00206024" w:rsidRPr="00C562D6">
        <w:rPr>
          <w:rFonts w:ascii="Times New Roman" w:hAnsi="Times New Roman" w:cs="Times New Roman"/>
        </w:rPr>
        <w:t>utilizes</w:t>
      </w:r>
      <w:r w:rsidRPr="00C562D6">
        <w:rPr>
          <w:rFonts w:ascii="Times New Roman" w:hAnsi="Times New Roman" w:cs="Times New Roman"/>
        </w:rPr>
        <w:t xml:space="preserve"> the </w:t>
      </w:r>
      <w:r w:rsidR="00562F14" w:rsidRPr="00C562D6">
        <w:rPr>
          <w:rFonts w:ascii="Times New Roman" w:hAnsi="Times New Roman" w:cs="Times New Roman"/>
        </w:rPr>
        <w:t>concept of</w:t>
      </w:r>
      <w:r w:rsidRPr="00C562D6">
        <w:rPr>
          <w:rFonts w:ascii="Times New Roman" w:hAnsi="Times New Roman" w:cs="Times New Roman"/>
        </w:rPr>
        <w:t xml:space="preserve"> financialization. Financialization is a multi-faceted process that seeks to explain the increased role and power of the financial markets in society. Specifically the paper shows that the AHP not only leads to increased debt levels in the social housing sector but is also predicated on aspects of the shareholder value revolution</w:t>
      </w:r>
      <w:r w:rsidR="00C50A92" w:rsidRPr="00C562D6">
        <w:rPr>
          <w:rFonts w:ascii="Times New Roman" w:hAnsi="Times New Roman" w:cs="Times New Roman"/>
        </w:rPr>
        <w:t xml:space="preserve"> and accumulation by dispossession</w:t>
      </w:r>
      <w:r w:rsidRPr="00C562D6">
        <w:rPr>
          <w:rFonts w:ascii="Times New Roman" w:hAnsi="Times New Roman" w:cs="Times New Roman"/>
        </w:rPr>
        <w:t>.</w:t>
      </w:r>
      <w:r w:rsidRPr="00C562D6">
        <w:rPr>
          <w:rFonts w:ascii="Times New Roman" w:hAnsi="Times New Roman" w:cs="Times New Roman"/>
          <w:b/>
          <w:szCs w:val="24"/>
        </w:rPr>
        <w:br w:type="page"/>
      </w:r>
    </w:p>
    <w:p w:rsidR="00006756" w:rsidRPr="00C562D6" w:rsidRDefault="00006756" w:rsidP="00C50A92">
      <w:pPr>
        <w:pStyle w:val="ListParagraph"/>
        <w:numPr>
          <w:ilvl w:val="0"/>
          <w:numId w:val="8"/>
        </w:numPr>
        <w:spacing w:after="240" w:line="260" w:lineRule="atLeast"/>
        <w:jc w:val="both"/>
        <w:rPr>
          <w:rFonts w:ascii="Times New Roman" w:hAnsi="Times New Roman" w:cs="Times New Roman"/>
          <w:b/>
          <w:szCs w:val="24"/>
        </w:rPr>
      </w:pPr>
      <w:r w:rsidRPr="00C562D6">
        <w:rPr>
          <w:rFonts w:ascii="Times New Roman" w:hAnsi="Times New Roman" w:cs="Times New Roman"/>
          <w:b/>
          <w:szCs w:val="24"/>
        </w:rPr>
        <w:lastRenderedPageBreak/>
        <w:t>Introduction</w:t>
      </w:r>
    </w:p>
    <w:p w:rsidR="00060A0D" w:rsidRPr="00C562D6" w:rsidRDefault="00060A0D" w:rsidP="00060A0D">
      <w:pPr>
        <w:spacing w:after="240" w:line="480" w:lineRule="auto"/>
        <w:jc w:val="both"/>
        <w:rPr>
          <w:rFonts w:ascii="Times New Roman" w:hAnsi="Times New Roman" w:cs="Times New Roman"/>
        </w:rPr>
      </w:pPr>
      <w:r w:rsidRPr="00C562D6">
        <w:rPr>
          <w:rFonts w:ascii="Times New Roman" w:hAnsi="Times New Roman" w:cs="Times New Roman"/>
        </w:rPr>
        <w:t xml:space="preserve">Housing continues to be a popular topic for discussion and concern for policy makers, providers and society at large. The housing market has been seen to exhibit dysfunctional characteristics with unsustainable price increases at one extreme and increases in eviction rates at the other. This paper contributes to the debate over the future of housing in England by reviewing the </w:t>
      </w:r>
      <w:r w:rsidRPr="00C562D6">
        <w:rPr>
          <w:rFonts w:ascii="Times New Roman" w:hAnsi="Times New Roman" w:cs="Times New Roman"/>
          <w:i/>
        </w:rPr>
        <w:t>Affordable Homes Programme</w:t>
      </w:r>
      <w:r w:rsidRPr="00C562D6">
        <w:rPr>
          <w:rFonts w:ascii="Times New Roman" w:hAnsi="Times New Roman" w:cs="Times New Roman"/>
        </w:rPr>
        <w:t xml:space="preserve"> (AHP) within a financialization framework.</w:t>
      </w:r>
    </w:p>
    <w:p w:rsidR="00060A0D" w:rsidRPr="00C562D6" w:rsidRDefault="00060A0D" w:rsidP="00060A0D">
      <w:pPr>
        <w:spacing w:after="240" w:line="480" w:lineRule="auto"/>
        <w:jc w:val="both"/>
        <w:rPr>
          <w:rFonts w:ascii="Times New Roman" w:hAnsi="Times New Roman" w:cs="Times New Roman"/>
        </w:rPr>
      </w:pPr>
      <w:r w:rsidRPr="00C562D6">
        <w:rPr>
          <w:rFonts w:ascii="Times New Roman" w:hAnsi="Times New Roman" w:cs="Times New Roman"/>
        </w:rPr>
        <w:t>A common policy analysis concludes that not enough houses are being built</w:t>
      </w:r>
      <w:r w:rsidR="007E041C" w:rsidRPr="00C562D6">
        <w:rPr>
          <w:rFonts w:ascii="Times New Roman" w:hAnsi="Times New Roman" w:cs="Times New Roman"/>
        </w:rPr>
        <w:t xml:space="preserve"> (Lyons, 2014)</w:t>
      </w:r>
      <w:r w:rsidRPr="00C562D6">
        <w:rPr>
          <w:rFonts w:ascii="Times New Roman" w:hAnsi="Times New Roman" w:cs="Times New Roman"/>
        </w:rPr>
        <w:t xml:space="preserve">. </w:t>
      </w:r>
      <w:r w:rsidR="007E041C" w:rsidRPr="00C562D6">
        <w:rPr>
          <w:rFonts w:ascii="Times New Roman" w:hAnsi="Times New Roman" w:cs="Times New Roman"/>
          <w:lang w:val="en-GB"/>
        </w:rPr>
        <w:t xml:space="preserve">This conclusion is not held by all. For example Danny Dorling (2014) argues that there has never been more bedroom space available in the UK, the problem is the inequalities in access to, and distribution of </w:t>
      </w:r>
      <w:proofErr w:type="gramStart"/>
      <w:r w:rsidR="007E041C" w:rsidRPr="00C562D6">
        <w:rPr>
          <w:rFonts w:ascii="Times New Roman" w:hAnsi="Times New Roman" w:cs="Times New Roman"/>
          <w:lang w:val="en-GB"/>
        </w:rPr>
        <w:t>those</w:t>
      </w:r>
      <w:proofErr w:type="gramEnd"/>
      <w:r w:rsidR="007E041C" w:rsidRPr="00C562D6">
        <w:rPr>
          <w:rFonts w:ascii="Times New Roman" w:hAnsi="Times New Roman" w:cs="Times New Roman"/>
          <w:lang w:val="en-GB"/>
        </w:rPr>
        <w:t xml:space="preserve"> homes.</w:t>
      </w:r>
      <w:r w:rsidRPr="00C562D6">
        <w:rPr>
          <w:rFonts w:ascii="Times New Roman" w:hAnsi="Times New Roman" w:cs="Times New Roman"/>
        </w:rPr>
        <w:t>This is exacerbated by a lack of government funding for public services generally. In these circumstances, government policy has been geared towards delivering the maximum number of houses possible</w:t>
      </w:r>
      <w:r w:rsidR="00183A0F" w:rsidRPr="00C562D6">
        <w:rPr>
          <w:rFonts w:ascii="Times New Roman" w:hAnsi="Times New Roman" w:cs="Times New Roman"/>
        </w:rPr>
        <w:t>,</w:t>
      </w:r>
      <w:r w:rsidRPr="00C562D6">
        <w:rPr>
          <w:rFonts w:ascii="Times New Roman" w:hAnsi="Times New Roman" w:cs="Times New Roman"/>
        </w:rPr>
        <w:t xml:space="preserve"> for the limited amount of public funding available. Through the course of two </w:t>
      </w:r>
      <w:r w:rsidRPr="00C562D6">
        <w:rPr>
          <w:rFonts w:ascii="Times New Roman" w:hAnsi="Times New Roman" w:cs="Times New Roman"/>
          <w:i/>
        </w:rPr>
        <w:t>Affordable Homes Programmes</w:t>
      </w:r>
      <w:r w:rsidRPr="00C562D6">
        <w:rPr>
          <w:rFonts w:ascii="Times New Roman" w:hAnsi="Times New Roman" w:cs="Times New Roman"/>
        </w:rPr>
        <w:t xml:space="preserve"> (2011-15, and 2015-18), government has dramatically reduced the average level of grant funding per home provided to social housing developers. The resulting gap in funding is expected to be filled by developing housing associations own resources, the use of affordable rent products and increased borrowing.</w:t>
      </w:r>
    </w:p>
    <w:p w:rsidR="00284E6D" w:rsidRPr="00C562D6" w:rsidRDefault="00060A0D" w:rsidP="007E041C">
      <w:pPr>
        <w:spacing w:after="240" w:line="480" w:lineRule="auto"/>
        <w:jc w:val="both"/>
        <w:rPr>
          <w:rFonts w:ascii="Times New Roman" w:hAnsi="Times New Roman" w:cs="Times New Roman"/>
          <w:szCs w:val="24"/>
        </w:rPr>
      </w:pPr>
      <w:r w:rsidRPr="00C562D6">
        <w:rPr>
          <w:rFonts w:ascii="Times New Roman" w:hAnsi="Times New Roman" w:cs="Times New Roman"/>
        </w:rPr>
        <w:t xml:space="preserve">To understand the potential impacts and sustainability of the AHPs this paper frames an analysis utilizing the </w:t>
      </w:r>
      <w:r w:rsidR="00183A0F" w:rsidRPr="00C562D6">
        <w:rPr>
          <w:rFonts w:ascii="Times New Roman" w:hAnsi="Times New Roman" w:cs="Times New Roman"/>
        </w:rPr>
        <w:t>concept of</w:t>
      </w:r>
      <w:r w:rsidRPr="00C562D6">
        <w:rPr>
          <w:rFonts w:ascii="Times New Roman" w:hAnsi="Times New Roman" w:cs="Times New Roman"/>
        </w:rPr>
        <w:t xml:space="preserve"> financialization. Financialization is a multi-faceted process that seeks to explain the increased role and power of the financial markets in society. Specifically the paper shows that the AHP not only leads to increased debt levels in the social housing sector but is also predicated on aspects of the shareholder value revolution, in particular an emphasis on short-termism.</w:t>
      </w:r>
    </w:p>
    <w:p w:rsidR="00006756" w:rsidRPr="00C562D6" w:rsidRDefault="00472E58" w:rsidP="00020F12">
      <w:pPr>
        <w:spacing w:after="240" w:line="480" w:lineRule="auto"/>
        <w:jc w:val="both"/>
        <w:rPr>
          <w:rFonts w:ascii="Times New Roman" w:hAnsi="Times New Roman" w:cs="Times New Roman"/>
          <w:szCs w:val="24"/>
          <w:lang w:val="en-GB"/>
        </w:rPr>
      </w:pPr>
      <w:r w:rsidRPr="00C562D6">
        <w:rPr>
          <w:rFonts w:ascii="Times New Roman" w:hAnsi="Times New Roman" w:cs="Times New Roman"/>
          <w:szCs w:val="24"/>
          <w:lang w:val="en-GB"/>
        </w:rPr>
        <w:lastRenderedPageBreak/>
        <w:t>To achieve this, the paper is structured as follows; the next section sets up the theoretical framing by exploring ideas related to financialization (Cooper, 2014</w:t>
      </w:r>
      <w:r w:rsidR="00EB4A0A" w:rsidRPr="00C562D6">
        <w:rPr>
          <w:rFonts w:ascii="Times New Roman" w:hAnsi="Times New Roman" w:cs="Times New Roman"/>
          <w:szCs w:val="24"/>
          <w:lang w:val="en-GB"/>
        </w:rPr>
        <w:t>; Harvey, 201</w:t>
      </w:r>
      <w:r w:rsidR="00020F12" w:rsidRPr="00C562D6">
        <w:rPr>
          <w:rFonts w:ascii="Times New Roman" w:hAnsi="Times New Roman" w:cs="Times New Roman"/>
          <w:szCs w:val="24"/>
          <w:lang w:val="en-GB"/>
        </w:rPr>
        <w:t>2</w:t>
      </w:r>
      <w:r w:rsidR="00183A0F" w:rsidRPr="00C562D6">
        <w:rPr>
          <w:rFonts w:ascii="Times New Roman" w:hAnsi="Times New Roman" w:cs="Times New Roman"/>
          <w:szCs w:val="24"/>
          <w:lang w:val="en-GB"/>
        </w:rPr>
        <w:t>) and is followed by a section outlining the research design.</w:t>
      </w:r>
      <w:r w:rsidRPr="00C562D6">
        <w:rPr>
          <w:rFonts w:ascii="Times New Roman" w:hAnsi="Times New Roman" w:cs="Times New Roman"/>
          <w:szCs w:val="24"/>
          <w:lang w:val="en-GB"/>
        </w:rPr>
        <w:t xml:space="preserve"> </w:t>
      </w:r>
      <w:r w:rsidR="00183A0F" w:rsidRPr="00C562D6">
        <w:rPr>
          <w:rFonts w:ascii="Times New Roman" w:hAnsi="Times New Roman" w:cs="Times New Roman"/>
          <w:szCs w:val="24"/>
          <w:lang w:val="en-GB"/>
        </w:rPr>
        <w:t>S</w:t>
      </w:r>
      <w:r w:rsidRPr="00C562D6">
        <w:rPr>
          <w:rFonts w:ascii="Times New Roman" w:hAnsi="Times New Roman" w:cs="Times New Roman"/>
          <w:szCs w:val="24"/>
          <w:lang w:val="en-GB"/>
        </w:rPr>
        <w:t>ection</w:t>
      </w:r>
      <w:r w:rsidR="00183A0F" w:rsidRPr="00C562D6">
        <w:rPr>
          <w:rFonts w:ascii="Times New Roman" w:hAnsi="Times New Roman" w:cs="Times New Roman"/>
          <w:szCs w:val="24"/>
          <w:lang w:val="en-GB"/>
        </w:rPr>
        <w:t xml:space="preserve"> four</w:t>
      </w:r>
      <w:r w:rsidRPr="00C562D6">
        <w:rPr>
          <w:rFonts w:ascii="Times New Roman" w:hAnsi="Times New Roman" w:cs="Times New Roman"/>
          <w:szCs w:val="24"/>
          <w:lang w:val="en-GB"/>
        </w:rPr>
        <w:t xml:space="preserve"> sets the context of the housing market in England</w:t>
      </w:r>
      <w:r w:rsidR="006E175A" w:rsidRPr="00C562D6">
        <w:rPr>
          <w:rFonts w:ascii="Times New Roman" w:hAnsi="Times New Roman" w:cs="Times New Roman"/>
          <w:szCs w:val="24"/>
          <w:lang w:val="en-GB"/>
        </w:rPr>
        <w:t>;</w:t>
      </w:r>
      <w:r w:rsidR="00183A0F" w:rsidRPr="00C562D6">
        <w:rPr>
          <w:rFonts w:ascii="Times New Roman" w:hAnsi="Times New Roman" w:cs="Times New Roman"/>
          <w:szCs w:val="24"/>
          <w:lang w:val="en-GB"/>
        </w:rPr>
        <w:t xml:space="preserve"> while</w:t>
      </w:r>
      <w:r w:rsidRPr="00C562D6">
        <w:rPr>
          <w:rFonts w:ascii="Times New Roman" w:hAnsi="Times New Roman" w:cs="Times New Roman"/>
          <w:szCs w:val="24"/>
          <w:lang w:val="en-GB"/>
        </w:rPr>
        <w:t xml:space="preserve"> </w:t>
      </w:r>
      <w:r w:rsidR="00183A0F" w:rsidRPr="00C562D6">
        <w:rPr>
          <w:rFonts w:ascii="Times New Roman" w:hAnsi="Times New Roman" w:cs="Times New Roman"/>
          <w:szCs w:val="24"/>
          <w:lang w:val="en-GB"/>
        </w:rPr>
        <w:t>t</w:t>
      </w:r>
      <w:r w:rsidRPr="00C562D6">
        <w:rPr>
          <w:rFonts w:ascii="Times New Roman" w:hAnsi="Times New Roman" w:cs="Times New Roman"/>
          <w:szCs w:val="24"/>
          <w:lang w:val="en-GB"/>
        </w:rPr>
        <w:t xml:space="preserve">he </w:t>
      </w:r>
      <w:r w:rsidR="00183A0F" w:rsidRPr="00C562D6">
        <w:rPr>
          <w:rFonts w:ascii="Times New Roman" w:hAnsi="Times New Roman" w:cs="Times New Roman"/>
          <w:szCs w:val="24"/>
          <w:lang w:val="en-GB"/>
        </w:rPr>
        <w:t>following</w:t>
      </w:r>
      <w:r w:rsidR="006E175A" w:rsidRPr="00C562D6">
        <w:rPr>
          <w:rFonts w:ascii="Times New Roman" w:hAnsi="Times New Roman" w:cs="Times New Roman"/>
          <w:szCs w:val="24"/>
          <w:lang w:val="en-GB"/>
        </w:rPr>
        <w:t xml:space="preserve"> section (5) </w:t>
      </w:r>
      <w:proofErr w:type="spellStart"/>
      <w:r w:rsidR="00183A0F" w:rsidRPr="00C562D6">
        <w:rPr>
          <w:rFonts w:ascii="Times New Roman" w:hAnsi="Times New Roman" w:cs="Times New Roman"/>
          <w:szCs w:val="24"/>
          <w:lang w:val="en-GB"/>
        </w:rPr>
        <w:t>analyzes</w:t>
      </w:r>
      <w:proofErr w:type="spellEnd"/>
      <w:r w:rsidRPr="00C562D6">
        <w:rPr>
          <w:rFonts w:ascii="Times New Roman" w:hAnsi="Times New Roman" w:cs="Times New Roman"/>
          <w:szCs w:val="24"/>
          <w:lang w:val="en-GB"/>
        </w:rPr>
        <w:t xml:space="preserve"> the AHP policy by relying on policy documents i</w:t>
      </w:r>
      <w:r w:rsidR="006E175A" w:rsidRPr="00C562D6">
        <w:rPr>
          <w:rFonts w:ascii="Times New Roman" w:hAnsi="Times New Roman" w:cs="Times New Roman"/>
          <w:szCs w:val="24"/>
          <w:lang w:val="en-GB"/>
        </w:rPr>
        <w:t xml:space="preserve">ssued by the government bodies </w:t>
      </w:r>
      <w:r w:rsidRPr="00C562D6">
        <w:rPr>
          <w:rFonts w:ascii="Times New Roman" w:hAnsi="Times New Roman" w:cs="Times New Roman"/>
          <w:szCs w:val="24"/>
          <w:lang w:val="en-GB"/>
        </w:rPr>
        <w:t>and the coverage of the policy in industry publications.</w:t>
      </w:r>
      <w:r w:rsidR="00BC04E0" w:rsidRPr="00C562D6">
        <w:rPr>
          <w:rFonts w:ascii="Times New Roman" w:hAnsi="Times New Roman" w:cs="Times New Roman"/>
          <w:szCs w:val="24"/>
          <w:lang w:val="en-GB"/>
        </w:rPr>
        <w:t xml:space="preserve"> The </w:t>
      </w:r>
      <w:r w:rsidR="00020F12" w:rsidRPr="00C562D6">
        <w:rPr>
          <w:rFonts w:ascii="Times New Roman" w:hAnsi="Times New Roman" w:cs="Times New Roman"/>
          <w:szCs w:val="24"/>
          <w:lang w:val="en-GB"/>
        </w:rPr>
        <w:t>final</w:t>
      </w:r>
      <w:r w:rsidR="00BC04E0" w:rsidRPr="00C562D6">
        <w:rPr>
          <w:rFonts w:ascii="Times New Roman" w:hAnsi="Times New Roman" w:cs="Times New Roman"/>
          <w:szCs w:val="24"/>
          <w:lang w:val="en-GB"/>
        </w:rPr>
        <w:t xml:space="preserve"> section discusses how the AHP is embedding financialization in the social housing sector.</w:t>
      </w:r>
    </w:p>
    <w:p w:rsidR="00472E58" w:rsidRPr="00C562D6" w:rsidRDefault="00472E58" w:rsidP="00C50A92">
      <w:pPr>
        <w:pStyle w:val="ListParagraph"/>
        <w:numPr>
          <w:ilvl w:val="0"/>
          <w:numId w:val="8"/>
        </w:numPr>
        <w:spacing w:line="480" w:lineRule="auto"/>
        <w:jc w:val="both"/>
        <w:rPr>
          <w:rFonts w:ascii="Times New Roman" w:hAnsi="Times New Roman" w:cs="Times New Roman"/>
          <w:b/>
          <w:szCs w:val="24"/>
        </w:rPr>
      </w:pPr>
      <w:r w:rsidRPr="00C562D6">
        <w:rPr>
          <w:rFonts w:ascii="Times New Roman" w:hAnsi="Times New Roman" w:cs="Times New Roman"/>
          <w:b/>
          <w:szCs w:val="24"/>
        </w:rPr>
        <w:t>Financialization</w:t>
      </w:r>
    </w:p>
    <w:p w:rsidR="00FB7D99" w:rsidRPr="00C562D6" w:rsidRDefault="00EB4A0A" w:rsidP="00FB7D99">
      <w:pPr>
        <w:spacing w:after="240" w:line="480" w:lineRule="auto"/>
        <w:jc w:val="both"/>
        <w:rPr>
          <w:rFonts w:ascii="Times New Roman" w:hAnsi="Times New Roman" w:cs="Times New Roman"/>
          <w:szCs w:val="24"/>
        </w:rPr>
      </w:pPr>
      <w:r w:rsidRPr="00C562D6">
        <w:rPr>
          <w:rFonts w:ascii="Times New Roman" w:hAnsi="Times New Roman" w:cs="Times New Roman"/>
          <w:szCs w:val="24"/>
        </w:rPr>
        <w:t>Financialization is</w:t>
      </w:r>
      <w:r w:rsidR="006E175A" w:rsidRPr="00C562D6">
        <w:rPr>
          <w:rFonts w:ascii="Times New Roman" w:hAnsi="Times New Roman" w:cs="Times New Roman"/>
          <w:szCs w:val="24"/>
        </w:rPr>
        <w:t xml:space="preserve"> a</w:t>
      </w:r>
      <w:r w:rsidRPr="00C562D6">
        <w:rPr>
          <w:rFonts w:ascii="Times New Roman" w:hAnsi="Times New Roman" w:cs="Times New Roman"/>
          <w:szCs w:val="24"/>
        </w:rPr>
        <w:t xml:space="preserve"> term that is increasing being used to capture a range of processes that have become evident since the financial crisis of 2007/08, although the term has been in use in certain academic circles for two decades</w:t>
      </w:r>
      <w:r w:rsidRPr="00C562D6">
        <w:rPr>
          <w:rStyle w:val="FootnoteReference"/>
          <w:rFonts w:ascii="Times New Roman" w:hAnsi="Times New Roman" w:cs="Times New Roman"/>
          <w:szCs w:val="24"/>
        </w:rPr>
        <w:footnoteReference w:id="1"/>
      </w:r>
      <w:r w:rsidR="0099638B" w:rsidRPr="00C562D6">
        <w:rPr>
          <w:rFonts w:ascii="Times New Roman" w:hAnsi="Times New Roman" w:cs="Times New Roman"/>
          <w:szCs w:val="24"/>
        </w:rPr>
        <w:t>.</w:t>
      </w:r>
      <w:r w:rsidR="00C55524" w:rsidRPr="00C562D6">
        <w:rPr>
          <w:rFonts w:ascii="Times New Roman" w:hAnsi="Times New Roman" w:cs="Times New Roman"/>
          <w:szCs w:val="24"/>
        </w:rPr>
        <w:t xml:space="preserve"> </w:t>
      </w:r>
      <w:r w:rsidR="00944E9A" w:rsidRPr="00C562D6">
        <w:rPr>
          <w:rFonts w:ascii="Times New Roman" w:hAnsi="Times New Roman" w:cs="Times New Roman"/>
          <w:szCs w:val="24"/>
        </w:rPr>
        <w:t xml:space="preserve">Much of the debate has focused on the increasing power of </w:t>
      </w:r>
      <w:r w:rsidR="00FB7D99" w:rsidRPr="00C562D6">
        <w:rPr>
          <w:rFonts w:ascii="Times New Roman" w:hAnsi="Times New Roman" w:cs="Times New Roman"/>
          <w:szCs w:val="24"/>
        </w:rPr>
        <w:t>financial capital</w:t>
      </w:r>
      <w:r w:rsidR="00654E1F" w:rsidRPr="00C562D6">
        <w:rPr>
          <w:rFonts w:ascii="Times New Roman" w:hAnsi="Times New Roman" w:cs="Times New Roman"/>
          <w:szCs w:val="24"/>
        </w:rPr>
        <w:t xml:space="preserve"> through the financial services industry</w:t>
      </w:r>
      <w:r w:rsidR="00FB7D99" w:rsidRPr="00C562D6">
        <w:rPr>
          <w:rFonts w:ascii="Times New Roman" w:hAnsi="Times New Roman" w:cs="Times New Roman"/>
          <w:szCs w:val="24"/>
        </w:rPr>
        <w:t xml:space="preserve"> in relation to the household unit; for example, the subprime mortgage market in the US (Ashman, 2009; Fine, 2010; </w:t>
      </w:r>
      <w:proofErr w:type="spellStart"/>
      <w:r w:rsidR="00FB7D99" w:rsidRPr="00C562D6">
        <w:rPr>
          <w:rFonts w:ascii="Times New Roman" w:hAnsi="Times New Roman" w:cs="Times New Roman"/>
          <w:szCs w:val="24"/>
        </w:rPr>
        <w:t>Lapavitsas</w:t>
      </w:r>
      <w:proofErr w:type="spellEnd"/>
      <w:r w:rsidR="00FB7D99" w:rsidRPr="00C562D6">
        <w:rPr>
          <w:rFonts w:ascii="Times New Roman" w:hAnsi="Times New Roman" w:cs="Times New Roman"/>
          <w:szCs w:val="24"/>
        </w:rPr>
        <w:t xml:space="preserve">, 2009). While some of the theoretical underpinnings used in these debates are relevant to the analysis in this paper, the overall focus is in a different direction and towards the financialization of a sector of the economy. </w:t>
      </w:r>
    </w:p>
    <w:p w:rsidR="00EB4A0A" w:rsidRPr="00C562D6" w:rsidRDefault="00C55524" w:rsidP="00472E58">
      <w:pPr>
        <w:spacing w:line="480" w:lineRule="auto"/>
        <w:jc w:val="both"/>
        <w:rPr>
          <w:rFonts w:ascii="Times New Roman" w:hAnsi="Times New Roman" w:cs="Times New Roman"/>
          <w:szCs w:val="24"/>
        </w:rPr>
      </w:pPr>
      <w:r w:rsidRPr="00C562D6">
        <w:rPr>
          <w:rFonts w:ascii="Times New Roman" w:hAnsi="Times New Roman" w:cs="Times New Roman"/>
          <w:szCs w:val="24"/>
        </w:rPr>
        <w:t>Cooper (2014) lays out four key characteristics of financialization:</w:t>
      </w:r>
    </w:p>
    <w:p w:rsidR="00C55524" w:rsidRPr="00C562D6" w:rsidRDefault="00C55524" w:rsidP="00C55524">
      <w:pPr>
        <w:pStyle w:val="ListParagraph"/>
        <w:numPr>
          <w:ilvl w:val="0"/>
          <w:numId w:val="7"/>
        </w:numPr>
        <w:spacing w:line="480" w:lineRule="auto"/>
        <w:jc w:val="both"/>
        <w:rPr>
          <w:rFonts w:ascii="Times New Roman" w:hAnsi="Times New Roman" w:cs="Times New Roman"/>
          <w:szCs w:val="24"/>
        </w:rPr>
      </w:pPr>
      <w:r w:rsidRPr="00C562D6">
        <w:rPr>
          <w:rFonts w:ascii="Times New Roman" w:hAnsi="Times New Roman" w:cs="Times New Roman"/>
          <w:szCs w:val="24"/>
        </w:rPr>
        <w:t>The globalization of the financial markets;</w:t>
      </w:r>
    </w:p>
    <w:p w:rsidR="00C55524" w:rsidRPr="00C562D6" w:rsidRDefault="00C55524" w:rsidP="00C55524">
      <w:pPr>
        <w:pStyle w:val="ListParagraph"/>
        <w:numPr>
          <w:ilvl w:val="0"/>
          <w:numId w:val="7"/>
        </w:numPr>
        <w:spacing w:line="480" w:lineRule="auto"/>
        <w:jc w:val="both"/>
        <w:rPr>
          <w:rFonts w:ascii="Times New Roman" w:hAnsi="Times New Roman" w:cs="Times New Roman"/>
          <w:szCs w:val="24"/>
        </w:rPr>
      </w:pPr>
      <w:r w:rsidRPr="00C562D6">
        <w:rPr>
          <w:rFonts w:ascii="Times New Roman" w:hAnsi="Times New Roman" w:cs="Times New Roman"/>
          <w:szCs w:val="24"/>
        </w:rPr>
        <w:t>The increase in income from financial investment;</w:t>
      </w:r>
    </w:p>
    <w:p w:rsidR="00C55524" w:rsidRPr="00C562D6" w:rsidRDefault="00C55524" w:rsidP="00C55524">
      <w:pPr>
        <w:pStyle w:val="ListParagraph"/>
        <w:numPr>
          <w:ilvl w:val="0"/>
          <w:numId w:val="7"/>
        </w:numPr>
        <w:spacing w:line="480" w:lineRule="auto"/>
        <w:jc w:val="both"/>
        <w:rPr>
          <w:rFonts w:ascii="Times New Roman" w:hAnsi="Times New Roman" w:cs="Times New Roman"/>
          <w:szCs w:val="24"/>
        </w:rPr>
      </w:pPr>
      <w:r w:rsidRPr="00C562D6">
        <w:rPr>
          <w:rFonts w:ascii="Times New Roman" w:hAnsi="Times New Roman" w:cs="Times New Roman"/>
          <w:szCs w:val="24"/>
        </w:rPr>
        <w:t>The shareholder value revolution;</w:t>
      </w:r>
    </w:p>
    <w:p w:rsidR="00C55524" w:rsidRPr="00C562D6" w:rsidRDefault="00C55524" w:rsidP="00C55524">
      <w:pPr>
        <w:pStyle w:val="ListParagraph"/>
        <w:numPr>
          <w:ilvl w:val="0"/>
          <w:numId w:val="7"/>
        </w:numPr>
        <w:spacing w:line="480" w:lineRule="auto"/>
        <w:jc w:val="both"/>
        <w:rPr>
          <w:rFonts w:ascii="Times New Roman" w:hAnsi="Times New Roman" w:cs="Times New Roman"/>
          <w:szCs w:val="24"/>
        </w:rPr>
      </w:pPr>
      <w:r w:rsidRPr="00C562D6">
        <w:rPr>
          <w:rFonts w:ascii="Times New Roman" w:hAnsi="Times New Roman" w:cs="Times New Roman"/>
          <w:szCs w:val="24"/>
        </w:rPr>
        <w:t>The intrusion of finance into commercial relations.</w:t>
      </w:r>
    </w:p>
    <w:p w:rsidR="00DA7FF1" w:rsidRPr="00C562D6" w:rsidRDefault="00DA7FF1" w:rsidP="004C371E">
      <w:pPr>
        <w:spacing w:after="240" w:line="480" w:lineRule="auto"/>
        <w:jc w:val="both"/>
        <w:rPr>
          <w:rFonts w:ascii="Times New Roman" w:hAnsi="Times New Roman" w:cs="Times New Roman"/>
          <w:szCs w:val="24"/>
        </w:rPr>
      </w:pPr>
      <w:r w:rsidRPr="00C562D6">
        <w:rPr>
          <w:rFonts w:ascii="Times New Roman" w:hAnsi="Times New Roman" w:cs="Times New Roman"/>
          <w:szCs w:val="24"/>
        </w:rPr>
        <w:lastRenderedPageBreak/>
        <w:t xml:space="preserve">Fine argues that the ‘current era of financialization is precisely one in which there has been not only a disproportionate expansion of capital in exchange, through extensive and intensive proliferation of financial derivatives but also the extension of finance into ever more areas of economic and social reproduction’ (Fine, 2010: 112). </w:t>
      </w:r>
      <w:r w:rsidR="00EA4641" w:rsidRPr="00C562D6">
        <w:rPr>
          <w:rFonts w:ascii="Times New Roman" w:hAnsi="Times New Roman" w:cs="Times New Roman"/>
          <w:szCs w:val="24"/>
        </w:rPr>
        <w:t>Thus one of the characteristics of financialization is the increase in interest-bearing capital in the UK and global economies (</w:t>
      </w:r>
      <w:proofErr w:type="spellStart"/>
      <w:r w:rsidR="00EA4641" w:rsidRPr="00C562D6">
        <w:rPr>
          <w:rFonts w:ascii="Times New Roman" w:hAnsi="Times New Roman" w:cs="Times New Roman"/>
          <w:szCs w:val="24"/>
        </w:rPr>
        <w:t>Andersson</w:t>
      </w:r>
      <w:proofErr w:type="spellEnd"/>
      <w:r w:rsidR="00EA4641" w:rsidRPr="00C562D6">
        <w:rPr>
          <w:rFonts w:ascii="Times New Roman" w:hAnsi="Times New Roman" w:cs="Times New Roman"/>
          <w:szCs w:val="24"/>
        </w:rPr>
        <w:t xml:space="preserve"> et al., 2014)</w:t>
      </w:r>
      <w:r w:rsidR="004C371E" w:rsidRPr="00C562D6">
        <w:rPr>
          <w:rFonts w:ascii="Times New Roman" w:hAnsi="Times New Roman" w:cs="Times New Roman"/>
          <w:szCs w:val="24"/>
        </w:rPr>
        <w:t>.</w:t>
      </w:r>
    </w:p>
    <w:p w:rsidR="004C371E" w:rsidRPr="00C562D6" w:rsidRDefault="004C371E" w:rsidP="004C371E">
      <w:pPr>
        <w:spacing w:after="240" w:line="480" w:lineRule="auto"/>
        <w:jc w:val="both"/>
        <w:rPr>
          <w:rFonts w:ascii="Times New Roman" w:hAnsi="Times New Roman" w:cs="Times New Roman"/>
          <w:szCs w:val="24"/>
        </w:rPr>
      </w:pPr>
      <w:r w:rsidRPr="00C562D6">
        <w:rPr>
          <w:rFonts w:ascii="Times New Roman" w:hAnsi="Times New Roman" w:cs="Times New Roman"/>
          <w:szCs w:val="24"/>
        </w:rPr>
        <w:t>Cooper (2014</w:t>
      </w:r>
      <w:r w:rsidR="00F022E0" w:rsidRPr="00C562D6">
        <w:rPr>
          <w:rFonts w:ascii="Times New Roman" w:hAnsi="Times New Roman" w:cs="Times New Roman"/>
          <w:szCs w:val="24"/>
        </w:rPr>
        <w:t>: 9</w:t>
      </w:r>
      <w:r w:rsidRPr="00C562D6">
        <w:rPr>
          <w:rFonts w:ascii="Times New Roman" w:hAnsi="Times New Roman" w:cs="Times New Roman"/>
          <w:szCs w:val="24"/>
        </w:rPr>
        <w:t xml:space="preserve">) </w:t>
      </w:r>
      <w:r w:rsidR="00F022E0" w:rsidRPr="00C562D6">
        <w:rPr>
          <w:rFonts w:ascii="Times New Roman" w:hAnsi="Times New Roman" w:cs="Times New Roman"/>
          <w:szCs w:val="24"/>
        </w:rPr>
        <w:t xml:space="preserve">argues that the maximisation of </w:t>
      </w:r>
      <w:r w:rsidR="006A1884" w:rsidRPr="00C562D6">
        <w:rPr>
          <w:rFonts w:ascii="Times New Roman" w:hAnsi="Times New Roman" w:cs="Times New Roman"/>
          <w:szCs w:val="24"/>
        </w:rPr>
        <w:t>shareholder value</w:t>
      </w:r>
      <w:r w:rsidR="006E175A" w:rsidRPr="00C562D6">
        <w:rPr>
          <w:rFonts w:ascii="Times New Roman" w:hAnsi="Times New Roman" w:cs="Times New Roman"/>
          <w:szCs w:val="24"/>
        </w:rPr>
        <w:t xml:space="preserve"> is the</w:t>
      </w:r>
      <w:r w:rsidR="00F022E0" w:rsidRPr="00C562D6">
        <w:rPr>
          <w:rFonts w:ascii="Times New Roman" w:hAnsi="Times New Roman" w:cs="Times New Roman"/>
          <w:szCs w:val="24"/>
        </w:rPr>
        <w:t xml:space="preserve"> ‘guiding principle of </w:t>
      </w:r>
      <w:proofErr w:type="spellStart"/>
      <w:r w:rsidR="00F022E0" w:rsidRPr="00C562D6">
        <w:rPr>
          <w:rFonts w:ascii="Times New Roman" w:hAnsi="Times New Roman" w:cs="Times New Roman"/>
          <w:szCs w:val="24"/>
        </w:rPr>
        <w:t>financialisation</w:t>
      </w:r>
      <w:proofErr w:type="spellEnd"/>
      <w:r w:rsidR="00F022E0" w:rsidRPr="00C562D6">
        <w:rPr>
          <w:rFonts w:ascii="Times New Roman" w:hAnsi="Times New Roman" w:cs="Times New Roman"/>
          <w:szCs w:val="24"/>
        </w:rPr>
        <w:t xml:space="preserve">’. This </w:t>
      </w:r>
      <w:r w:rsidR="006A1884" w:rsidRPr="00C562D6">
        <w:rPr>
          <w:rFonts w:ascii="Times New Roman" w:hAnsi="Times New Roman" w:cs="Times New Roman"/>
          <w:szCs w:val="24"/>
        </w:rPr>
        <w:t>revolution over the past forty years has led to the adoption of short-term strategies by directors of companies to maintain share prices. These strategies are driven by remuneration packages intended to minimize agency costs and ensure the maximum return to shareholders. In the process boards of directors increasingly engage in</w:t>
      </w:r>
      <w:r w:rsidR="00F022E0" w:rsidRPr="00C562D6">
        <w:rPr>
          <w:rFonts w:ascii="Times New Roman" w:hAnsi="Times New Roman" w:cs="Times New Roman"/>
          <w:szCs w:val="24"/>
        </w:rPr>
        <w:t xml:space="preserve"> activities to maximise shareholder value (such as</w:t>
      </w:r>
      <w:r w:rsidR="006A1884" w:rsidRPr="00C562D6">
        <w:rPr>
          <w:rFonts w:ascii="Times New Roman" w:hAnsi="Times New Roman" w:cs="Times New Roman"/>
          <w:szCs w:val="24"/>
        </w:rPr>
        <w:t xml:space="preserve"> share buyback schemes</w:t>
      </w:r>
      <w:r w:rsidR="00F022E0" w:rsidRPr="00C562D6">
        <w:rPr>
          <w:rFonts w:ascii="Times New Roman" w:hAnsi="Times New Roman" w:cs="Times New Roman"/>
          <w:szCs w:val="24"/>
        </w:rPr>
        <w:t>) even if this means reducing productive capacity (Cooper, 2014)</w:t>
      </w:r>
      <w:r w:rsidR="00F022E0" w:rsidRPr="00C562D6">
        <w:rPr>
          <w:rFonts w:ascii="Times New Roman" w:hAnsi="Times New Roman" w:cs="Times New Roman"/>
          <w:color w:val="FF0000"/>
          <w:szCs w:val="24"/>
        </w:rPr>
        <w:t xml:space="preserve">. </w:t>
      </w:r>
      <w:r w:rsidR="00F022E0" w:rsidRPr="00C562D6">
        <w:rPr>
          <w:rFonts w:ascii="Times New Roman" w:hAnsi="Times New Roman" w:cs="Times New Roman"/>
          <w:szCs w:val="24"/>
        </w:rPr>
        <w:t>This ‘could mean that the system is killing itself’ (Cooper, 2014:</w:t>
      </w:r>
      <w:r w:rsidR="00274230" w:rsidRPr="00C562D6">
        <w:rPr>
          <w:rFonts w:ascii="Times New Roman" w:hAnsi="Times New Roman" w:cs="Times New Roman"/>
          <w:szCs w:val="24"/>
        </w:rPr>
        <w:t xml:space="preserve"> </w:t>
      </w:r>
      <w:r w:rsidR="00F022E0" w:rsidRPr="00C562D6">
        <w:rPr>
          <w:rFonts w:ascii="Times New Roman" w:hAnsi="Times New Roman" w:cs="Times New Roman"/>
          <w:szCs w:val="24"/>
        </w:rPr>
        <w:t>10).</w:t>
      </w:r>
      <w:r w:rsidR="006A1884" w:rsidRPr="00C562D6">
        <w:rPr>
          <w:rFonts w:ascii="Times New Roman" w:hAnsi="Times New Roman" w:cs="Times New Roman"/>
          <w:szCs w:val="24"/>
        </w:rPr>
        <w:t xml:space="preserve"> </w:t>
      </w:r>
    </w:p>
    <w:p w:rsidR="00C55524" w:rsidRPr="00C562D6" w:rsidRDefault="00321E49" w:rsidP="001578F2">
      <w:pPr>
        <w:spacing w:after="240" w:line="480" w:lineRule="auto"/>
        <w:jc w:val="both"/>
        <w:rPr>
          <w:rFonts w:ascii="Times New Roman" w:hAnsi="Times New Roman" w:cs="Times New Roman"/>
          <w:szCs w:val="24"/>
        </w:rPr>
      </w:pPr>
      <w:r w:rsidRPr="00C562D6">
        <w:rPr>
          <w:rFonts w:ascii="Times New Roman" w:hAnsi="Times New Roman" w:cs="Times New Roman"/>
          <w:szCs w:val="24"/>
        </w:rPr>
        <w:t>From this brief discussion, t</w:t>
      </w:r>
      <w:r w:rsidR="00321C86" w:rsidRPr="00C562D6">
        <w:rPr>
          <w:rFonts w:ascii="Times New Roman" w:hAnsi="Times New Roman" w:cs="Times New Roman"/>
          <w:szCs w:val="24"/>
        </w:rPr>
        <w:t>wo aspects of the financialization process are</w:t>
      </w:r>
      <w:r w:rsidR="00EC360B" w:rsidRPr="00C562D6">
        <w:rPr>
          <w:rFonts w:ascii="Times New Roman" w:hAnsi="Times New Roman" w:cs="Times New Roman"/>
          <w:szCs w:val="24"/>
        </w:rPr>
        <w:t xml:space="preserve"> immediately</w:t>
      </w:r>
      <w:r w:rsidR="00321C86" w:rsidRPr="00C562D6">
        <w:rPr>
          <w:rFonts w:ascii="Times New Roman" w:hAnsi="Times New Roman" w:cs="Times New Roman"/>
          <w:szCs w:val="24"/>
        </w:rPr>
        <w:t xml:space="preserve"> relevant to the analysis in this paper – the shareholder</w:t>
      </w:r>
      <w:r w:rsidR="004C371E" w:rsidRPr="00C562D6">
        <w:rPr>
          <w:rFonts w:ascii="Times New Roman" w:hAnsi="Times New Roman" w:cs="Times New Roman"/>
          <w:szCs w:val="24"/>
        </w:rPr>
        <w:t xml:space="preserve"> value</w:t>
      </w:r>
      <w:r w:rsidR="00321C86" w:rsidRPr="00C562D6">
        <w:rPr>
          <w:rFonts w:ascii="Times New Roman" w:hAnsi="Times New Roman" w:cs="Times New Roman"/>
          <w:szCs w:val="24"/>
        </w:rPr>
        <w:t xml:space="preserve"> revolution</w:t>
      </w:r>
      <w:r w:rsidR="004C371E" w:rsidRPr="00C562D6">
        <w:rPr>
          <w:rFonts w:ascii="Times New Roman" w:hAnsi="Times New Roman" w:cs="Times New Roman"/>
          <w:szCs w:val="24"/>
        </w:rPr>
        <w:t xml:space="preserve"> </w:t>
      </w:r>
      <w:r w:rsidR="00274230" w:rsidRPr="00C562D6">
        <w:rPr>
          <w:rFonts w:ascii="Times New Roman" w:hAnsi="Times New Roman" w:cs="Times New Roman"/>
          <w:szCs w:val="24"/>
        </w:rPr>
        <w:t>with</w:t>
      </w:r>
      <w:r w:rsidR="004C371E" w:rsidRPr="00C562D6">
        <w:rPr>
          <w:rFonts w:ascii="Times New Roman" w:hAnsi="Times New Roman" w:cs="Times New Roman"/>
          <w:szCs w:val="24"/>
        </w:rPr>
        <w:t xml:space="preserve"> its accompanying short-termism</w:t>
      </w:r>
      <w:r w:rsidR="00321C86" w:rsidRPr="00C562D6">
        <w:rPr>
          <w:rFonts w:ascii="Times New Roman" w:hAnsi="Times New Roman" w:cs="Times New Roman"/>
          <w:szCs w:val="24"/>
        </w:rPr>
        <w:t xml:space="preserve"> and the increased amount of debt within the economy in the UK economy.</w:t>
      </w:r>
      <w:r w:rsidR="000C2C06" w:rsidRPr="00C562D6">
        <w:rPr>
          <w:rFonts w:ascii="Times New Roman" w:hAnsi="Times New Roman" w:cs="Times New Roman"/>
          <w:szCs w:val="24"/>
        </w:rPr>
        <w:t xml:space="preserve"> </w:t>
      </w:r>
      <w:r w:rsidR="000C2C06" w:rsidRPr="00C562D6">
        <w:rPr>
          <w:rFonts w:ascii="Times New Roman" w:hAnsi="Times New Roman" w:cs="Times New Roman"/>
          <w:szCs w:val="24"/>
          <w:lang w:val="en-GB"/>
        </w:rPr>
        <w:t>The UK’s debt to GDP ratio now stands at 252 per cent; an increase of 30 points since 2007 (McKinsey Global Institute, 2015).</w:t>
      </w:r>
    </w:p>
    <w:p w:rsidR="001578F2" w:rsidRPr="00C562D6" w:rsidRDefault="00321C86" w:rsidP="001578F2">
      <w:pPr>
        <w:spacing w:after="240" w:line="480" w:lineRule="auto"/>
        <w:jc w:val="both"/>
        <w:rPr>
          <w:rFonts w:ascii="Times New Roman" w:hAnsi="Times New Roman" w:cs="Times New Roman"/>
          <w:szCs w:val="24"/>
          <w:lang w:val="en-GB"/>
        </w:rPr>
      </w:pPr>
      <w:r w:rsidRPr="00C562D6">
        <w:rPr>
          <w:rFonts w:ascii="Times New Roman" w:hAnsi="Times New Roman" w:cs="Times New Roman"/>
          <w:szCs w:val="24"/>
        </w:rPr>
        <w:t>While these are general trends across economies and societies</w:t>
      </w:r>
      <w:r w:rsidR="003043F0" w:rsidRPr="00C562D6">
        <w:rPr>
          <w:rFonts w:ascii="Times New Roman" w:hAnsi="Times New Roman" w:cs="Times New Roman"/>
          <w:szCs w:val="24"/>
        </w:rPr>
        <w:t>,</w:t>
      </w:r>
      <w:r w:rsidRPr="00C562D6">
        <w:rPr>
          <w:rFonts w:ascii="Times New Roman" w:hAnsi="Times New Roman" w:cs="Times New Roman"/>
          <w:szCs w:val="24"/>
        </w:rPr>
        <w:t xml:space="preserve"> the role of housing and the city more broadly</w:t>
      </w:r>
      <w:r w:rsidR="003043F0" w:rsidRPr="00C562D6">
        <w:rPr>
          <w:rFonts w:ascii="Times New Roman" w:hAnsi="Times New Roman" w:cs="Times New Roman"/>
          <w:szCs w:val="24"/>
        </w:rPr>
        <w:t>,</w:t>
      </w:r>
      <w:r w:rsidRPr="00C562D6">
        <w:rPr>
          <w:rFonts w:ascii="Times New Roman" w:hAnsi="Times New Roman" w:cs="Times New Roman"/>
          <w:szCs w:val="24"/>
        </w:rPr>
        <w:t xml:space="preserve"> in the rhythm of capitalist development and accumulation have been analysed by David Harvey (201</w:t>
      </w:r>
      <w:r w:rsidR="00654E1F" w:rsidRPr="00C562D6">
        <w:rPr>
          <w:rFonts w:ascii="Times New Roman" w:hAnsi="Times New Roman" w:cs="Times New Roman"/>
          <w:szCs w:val="24"/>
        </w:rPr>
        <w:t>2</w:t>
      </w:r>
      <w:r w:rsidRPr="00C562D6">
        <w:rPr>
          <w:rFonts w:ascii="Times New Roman" w:hAnsi="Times New Roman" w:cs="Times New Roman"/>
          <w:szCs w:val="24"/>
        </w:rPr>
        <w:t>)</w:t>
      </w:r>
      <w:r w:rsidR="003043F0" w:rsidRPr="00C562D6">
        <w:rPr>
          <w:rFonts w:ascii="Times New Roman" w:hAnsi="Times New Roman" w:cs="Times New Roman"/>
          <w:szCs w:val="24"/>
        </w:rPr>
        <w:t xml:space="preserve">. Understanding the city as a site of absorption of excess (dead) capital that in turn leads to the accumulation by dispossession and monopoly rents, is also relevant. </w:t>
      </w:r>
      <w:r w:rsidR="001578F2" w:rsidRPr="00C562D6">
        <w:rPr>
          <w:rFonts w:ascii="Times New Roman" w:hAnsi="Times New Roman" w:cs="Times New Roman"/>
          <w:szCs w:val="24"/>
          <w:lang w:val="en-GB"/>
        </w:rPr>
        <w:t xml:space="preserve">Harvey’s conception of </w:t>
      </w:r>
      <w:r w:rsidR="001578F2" w:rsidRPr="00C562D6">
        <w:rPr>
          <w:rFonts w:ascii="Times New Roman" w:hAnsi="Times New Roman" w:cs="Times New Roman"/>
          <w:i/>
          <w:szCs w:val="24"/>
          <w:lang w:val="en-GB"/>
        </w:rPr>
        <w:t>accumulation by dispossession</w:t>
      </w:r>
      <w:r w:rsidR="001578F2" w:rsidRPr="00C562D6">
        <w:rPr>
          <w:rFonts w:ascii="Times New Roman" w:hAnsi="Times New Roman" w:cs="Times New Roman"/>
          <w:szCs w:val="24"/>
          <w:lang w:val="en-GB"/>
        </w:rPr>
        <w:t xml:space="preserve"> (Harvey, 2003; 2005), </w:t>
      </w:r>
      <w:r w:rsidR="001578F2" w:rsidRPr="00C562D6">
        <w:rPr>
          <w:rFonts w:ascii="Times New Roman" w:hAnsi="Times New Roman" w:cs="Times New Roman"/>
          <w:szCs w:val="24"/>
          <w:lang w:val="en-GB"/>
        </w:rPr>
        <w:lastRenderedPageBreak/>
        <w:t xml:space="preserve">develops from Marx’s </w:t>
      </w:r>
      <w:r w:rsidR="001578F2" w:rsidRPr="00C562D6">
        <w:rPr>
          <w:rFonts w:ascii="Times New Roman" w:hAnsi="Times New Roman" w:cs="Times New Roman"/>
          <w:i/>
          <w:szCs w:val="24"/>
          <w:lang w:val="en-GB"/>
        </w:rPr>
        <w:t>primitive accumulation</w:t>
      </w:r>
      <w:r w:rsidR="001578F2" w:rsidRPr="00C562D6">
        <w:rPr>
          <w:rFonts w:ascii="Times New Roman" w:hAnsi="Times New Roman" w:cs="Times New Roman"/>
          <w:szCs w:val="24"/>
          <w:lang w:val="en-GB"/>
        </w:rPr>
        <w:t xml:space="preserve"> (Marx, 1990). ‘A closer look at Marx’s description of primitive accumulation reveals a wide range of processes ... All features of primitive accumulation that Marx mentions have remained powerfully present within capitalism’s historical geography up until now’ Harvey (2003: 145). Harvey locates the need for accumulation by dispossession in the </w:t>
      </w:r>
      <w:proofErr w:type="spellStart"/>
      <w:r w:rsidR="001578F2" w:rsidRPr="00C562D6">
        <w:rPr>
          <w:rFonts w:ascii="Times New Roman" w:hAnsi="Times New Roman" w:cs="Times New Roman"/>
          <w:szCs w:val="24"/>
          <w:lang w:val="en-GB"/>
        </w:rPr>
        <w:t>overaccumulation</w:t>
      </w:r>
      <w:proofErr w:type="spellEnd"/>
      <w:r w:rsidR="001578F2" w:rsidRPr="00C562D6">
        <w:rPr>
          <w:rFonts w:ascii="Times New Roman" w:hAnsi="Times New Roman" w:cs="Times New Roman"/>
          <w:szCs w:val="24"/>
          <w:vertAlign w:val="superscript"/>
          <w:lang w:val="en-GB"/>
        </w:rPr>
        <w:footnoteReference w:id="2"/>
      </w:r>
      <w:r w:rsidR="001578F2" w:rsidRPr="00C562D6">
        <w:rPr>
          <w:rFonts w:ascii="Times New Roman" w:hAnsi="Times New Roman" w:cs="Times New Roman"/>
          <w:szCs w:val="24"/>
          <w:lang w:val="en-GB"/>
        </w:rPr>
        <w:t xml:space="preserve"> of capital that has plagued the system since the early 1970s</w:t>
      </w:r>
      <w:r w:rsidR="001578F2" w:rsidRPr="00C562D6">
        <w:rPr>
          <w:rFonts w:ascii="Times New Roman" w:hAnsi="Times New Roman" w:cs="Times New Roman"/>
          <w:szCs w:val="24"/>
          <w:vertAlign w:val="superscript"/>
          <w:lang w:val="en-GB"/>
        </w:rPr>
        <w:footnoteReference w:id="3"/>
      </w:r>
      <w:r w:rsidR="001578F2" w:rsidRPr="00C562D6">
        <w:rPr>
          <w:rFonts w:ascii="Times New Roman" w:hAnsi="Times New Roman" w:cs="Times New Roman"/>
          <w:szCs w:val="24"/>
          <w:lang w:val="en-GB"/>
        </w:rPr>
        <w:t xml:space="preserve">. Accumulation by dispossession seeks ‘... to release a set of assets (including labour power) at very low (and in some instances zero) cost. </w:t>
      </w:r>
      <w:proofErr w:type="spellStart"/>
      <w:r w:rsidR="001578F2" w:rsidRPr="00C562D6">
        <w:rPr>
          <w:rFonts w:ascii="Times New Roman" w:hAnsi="Times New Roman" w:cs="Times New Roman"/>
          <w:szCs w:val="24"/>
          <w:lang w:val="en-GB"/>
        </w:rPr>
        <w:t>Overaccumulated</w:t>
      </w:r>
      <w:proofErr w:type="spellEnd"/>
      <w:r w:rsidR="001578F2" w:rsidRPr="00C562D6">
        <w:rPr>
          <w:rFonts w:ascii="Times New Roman" w:hAnsi="Times New Roman" w:cs="Times New Roman"/>
          <w:szCs w:val="24"/>
          <w:lang w:val="en-GB"/>
        </w:rPr>
        <w:t xml:space="preserve"> capital can seize hold of such assets and immediately turn them to profitable use’ (Harvey, 2003: 149). An example of this process is Arnold and Cooper’s (1999) documenting of the Medway Ports, UK privatisation</w:t>
      </w:r>
      <w:r w:rsidR="001578F2" w:rsidRPr="00C562D6">
        <w:rPr>
          <w:rFonts w:ascii="Times New Roman" w:hAnsi="Times New Roman" w:cs="Times New Roman"/>
          <w:szCs w:val="24"/>
          <w:vertAlign w:val="superscript"/>
          <w:lang w:val="en-GB"/>
        </w:rPr>
        <w:footnoteReference w:id="4"/>
      </w:r>
      <w:r w:rsidR="001578F2" w:rsidRPr="00C562D6">
        <w:rPr>
          <w:rFonts w:ascii="Times New Roman" w:hAnsi="Times New Roman" w:cs="Times New Roman"/>
          <w:szCs w:val="24"/>
          <w:lang w:val="en-GB"/>
        </w:rPr>
        <w:t xml:space="preserve">. </w:t>
      </w:r>
    </w:p>
    <w:p w:rsidR="001578F2" w:rsidRPr="00C562D6" w:rsidRDefault="001578F2" w:rsidP="001578F2">
      <w:pPr>
        <w:spacing w:line="480" w:lineRule="auto"/>
        <w:jc w:val="both"/>
        <w:rPr>
          <w:rFonts w:ascii="Times New Roman" w:hAnsi="Times New Roman" w:cs="Times New Roman"/>
          <w:szCs w:val="24"/>
          <w:lang w:val="en-GB"/>
        </w:rPr>
      </w:pPr>
      <w:r w:rsidRPr="00C562D6">
        <w:rPr>
          <w:rFonts w:ascii="Times New Roman" w:hAnsi="Times New Roman" w:cs="Times New Roman"/>
          <w:szCs w:val="24"/>
          <w:lang w:val="en-GB"/>
        </w:rPr>
        <w:t xml:space="preserve">For Harvey privatisation has opened state assets, previously off-limits, to </w:t>
      </w:r>
      <w:proofErr w:type="spellStart"/>
      <w:r w:rsidRPr="00C562D6">
        <w:rPr>
          <w:rFonts w:ascii="Times New Roman" w:hAnsi="Times New Roman" w:cs="Times New Roman"/>
          <w:szCs w:val="24"/>
          <w:lang w:val="en-GB"/>
        </w:rPr>
        <w:t>overaccumulated</w:t>
      </w:r>
      <w:proofErr w:type="spellEnd"/>
      <w:r w:rsidRPr="00C562D6">
        <w:rPr>
          <w:rFonts w:ascii="Times New Roman" w:hAnsi="Times New Roman" w:cs="Times New Roman"/>
          <w:szCs w:val="24"/>
          <w:lang w:val="en-GB"/>
        </w:rPr>
        <w:t xml:space="preserve"> capital arguing that:</w:t>
      </w:r>
    </w:p>
    <w:p w:rsidR="001578F2" w:rsidRPr="00C562D6" w:rsidRDefault="001578F2" w:rsidP="001578F2">
      <w:pPr>
        <w:spacing w:line="480" w:lineRule="auto"/>
        <w:ind w:left="720"/>
        <w:jc w:val="both"/>
        <w:rPr>
          <w:rFonts w:ascii="Times New Roman" w:hAnsi="Times New Roman" w:cs="Times New Roman"/>
          <w:szCs w:val="24"/>
          <w:lang w:val="en-GB"/>
        </w:rPr>
      </w:pPr>
      <w:r w:rsidRPr="00C562D6">
        <w:rPr>
          <w:rFonts w:ascii="Times New Roman" w:hAnsi="Times New Roman" w:cs="Times New Roman"/>
          <w:szCs w:val="24"/>
          <w:lang w:val="en-GB"/>
        </w:rPr>
        <w:t xml:space="preserve">... if capitalism has been experiencing a chronic difficulty of </w:t>
      </w:r>
      <w:proofErr w:type="spellStart"/>
      <w:r w:rsidRPr="00C562D6">
        <w:rPr>
          <w:rFonts w:ascii="Times New Roman" w:hAnsi="Times New Roman" w:cs="Times New Roman"/>
          <w:szCs w:val="24"/>
          <w:lang w:val="en-GB"/>
        </w:rPr>
        <w:t>overaccumulation</w:t>
      </w:r>
      <w:proofErr w:type="spellEnd"/>
      <w:r w:rsidRPr="00C562D6">
        <w:rPr>
          <w:rFonts w:ascii="Times New Roman" w:hAnsi="Times New Roman" w:cs="Times New Roman"/>
          <w:szCs w:val="24"/>
          <w:lang w:val="en-GB"/>
        </w:rPr>
        <w:t xml:space="preserve"> since 1973, then the neo-liberal project of privatization of everything makes a lot of sense as one way to solve the problem.</w:t>
      </w:r>
    </w:p>
    <w:p w:rsidR="001578F2" w:rsidRPr="00C562D6" w:rsidRDefault="001578F2" w:rsidP="001578F2">
      <w:pPr>
        <w:spacing w:line="480" w:lineRule="auto"/>
        <w:jc w:val="right"/>
        <w:rPr>
          <w:rFonts w:ascii="Times New Roman" w:hAnsi="Times New Roman" w:cs="Times New Roman"/>
          <w:szCs w:val="24"/>
          <w:lang w:val="en-GB"/>
        </w:rPr>
      </w:pPr>
      <w:r w:rsidRPr="00C562D6">
        <w:rPr>
          <w:rFonts w:ascii="Times New Roman" w:hAnsi="Times New Roman" w:cs="Times New Roman"/>
          <w:szCs w:val="24"/>
          <w:lang w:val="en-GB"/>
        </w:rPr>
        <w:t>(Harvey, 2003: 149-150)</w:t>
      </w:r>
    </w:p>
    <w:p w:rsidR="00C0473A" w:rsidRPr="00C562D6" w:rsidRDefault="003043F0" w:rsidP="00CC7024">
      <w:pPr>
        <w:spacing w:after="240" w:line="480" w:lineRule="auto"/>
        <w:jc w:val="both"/>
        <w:rPr>
          <w:rFonts w:ascii="Times New Roman" w:hAnsi="Times New Roman" w:cs="Times New Roman"/>
          <w:szCs w:val="24"/>
        </w:rPr>
      </w:pPr>
      <w:r w:rsidRPr="00C562D6">
        <w:rPr>
          <w:rFonts w:ascii="Times New Roman" w:hAnsi="Times New Roman" w:cs="Times New Roman"/>
          <w:szCs w:val="24"/>
        </w:rPr>
        <w:t>Here accumulation by dispossession can be seen in social housing developments that reduce the council housing stock through</w:t>
      </w:r>
      <w:r w:rsidR="001578F2" w:rsidRPr="00C562D6">
        <w:rPr>
          <w:rFonts w:ascii="Times New Roman" w:hAnsi="Times New Roman" w:cs="Times New Roman"/>
          <w:szCs w:val="24"/>
        </w:rPr>
        <w:t xml:space="preserve"> demolitions that produce </w:t>
      </w:r>
      <w:r w:rsidR="00C0473A" w:rsidRPr="00C562D6">
        <w:rPr>
          <w:rFonts w:ascii="Times New Roman" w:hAnsi="Times New Roman" w:cs="Times New Roman"/>
          <w:szCs w:val="24"/>
        </w:rPr>
        <w:t>fewer</w:t>
      </w:r>
      <w:r w:rsidR="001578F2" w:rsidRPr="00C562D6">
        <w:rPr>
          <w:rFonts w:ascii="Times New Roman" w:hAnsi="Times New Roman" w:cs="Times New Roman"/>
          <w:szCs w:val="24"/>
        </w:rPr>
        <w:t xml:space="preserve"> homes afterwards, or in the conversion of social rented properties to affordable rent levels.</w:t>
      </w:r>
      <w:r w:rsidRPr="00C562D6">
        <w:rPr>
          <w:rFonts w:ascii="Times New Roman" w:hAnsi="Times New Roman" w:cs="Times New Roman"/>
          <w:szCs w:val="24"/>
        </w:rPr>
        <w:t xml:space="preserve"> </w:t>
      </w:r>
    </w:p>
    <w:p w:rsidR="000C2C06" w:rsidRPr="00C562D6" w:rsidRDefault="000C2C06" w:rsidP="00CC7024">
      <w:pPr>
        <w:spacing w:after="240" w:line="480" w:lineRule="auto"/>
        <w:jc w:val="both"/>
        <w:rPr>
          <w:rFonts w:ascii="Times New Roman" w:hAnsi="Times New Roman" w:cs="Times New Roman"/>
          <w:szCs w:val="24"/>
        </w:rPr>
      </w:pPr>
      <w:r w:rsidRPr="00C562D6">
        <w:rPr>
          <w:rFonts w:ascii="Times New Roman" w:hAnsi="Times New Roman" w:cs="Times New Roman"/>
          <w:szCs w:val="24"/>
        </w:rPr>
        <w:lastRenderedPageBreak/>
        <w:t>As discussed in the next section this research uses thematic analysis</w:t>
      </w:r>
    </w:p>
    <w:p w:rsidR="00472E58" w:rsidRPr="00C562D6" w:rsidRDefault="00C0473A" w:rsidP="00C50A92">
      <w:pPr>
        <w:pStyle w:val="ListParagraph"/>
        <w:numPr>
          <w:ilvl w:val="0"/>
          <w:numId w:val="8"/>
        </w:numPr>
        <w:spacing w:line="480" w:lineRule="auto"/>
        <w:jc w:val="both"/>
        <w:rPr>
          <w:rFonts w:ascii="Times New Roman" w:hAnsi="Times New Roman" w:cs="Times New Roman"/>
          <w:b/>
          <w:szCs w:val="24"/>
        </w:rPr>
      </w:pPr>
      <w:r w:rsidRPr="00C562D6">
        <w:rPr>
          <w:rFonts w:ascii="Times New Roman" w:hAnsi="Times New Roman" w:cs="Times New Roman"/>
          <w:b/>
          <w:szCs w:val="24"/>
        </w:rPr>
        <w:t>Research design</w:t>
      </w:r>
    </w:p>
    <w:p w:rsidR="00C0473A" w:rsidRPr="00C562D6" w:rsidRDefault="00C0473A" w:rsidP="00142643">
      <w:pPr>
        <w:spacing w:after="240" w:line="480" w:lineRule="auto"/>
        <w:jc w:val="both"/>
        <w:rPr>
          <w:rFonts w:ascii="Times New Roman" w:hAnsi="Times New Roman" w:cs="Times New Roman"/>
          <w:szCs w:val="24"/>
        </w:rPr>
      </w:pPr>
      <w:r w:rsidRPr="00C562D6">
        <w:rPr>
          <w:rFonts w:ascii="Times New Roman" w:hAnsi="Times New Roman" w:cs="Times New Roman"/>
          <w:szCs w:val="24"/>
        </w:rPr>
        <w:t>The paper</w:t>
      </w:r>
      <w:r w:rsidR="00944E9A" w:rsidRPr="00C562D6">
        <w:rPr>
          <w:rFonts w:ascii="Times New Roman" w:hAnsi="Times New Roman" w:cs="Times New Roman"/>
          <w:szCs w:val="24"/>
        </w:rPr>
        <w:t xml:space="preserve"> seeks to build on previous on the previous policy review of the early years of the Coalition government in England from 2010 (</w:t>
      </w:r>
      <w:proofErr w:type="spellStart"/>
      <w:r w:rsidR="00944E9A" w:rsidRPr="00C562D6">
        <w:rPr>
          <w:rFonts w:ascii="Times New Roman" w:hAnsi="Times New Roman" w:cs="Times New Roman"/>
          <w:szCs w:val="24"/>
        </w:rPr>
        <w:t>Murie</w:t>
      </w:r>
      <w:proofErr w:type="spellEnd"/>
      <w:r w:rsidR="00944E9A" w:rsidRPr="00C562D6">
        <w:rPr>
          <w:rFonts w:ascii="Times New Roman" w:hAnsi="Times New Roman" w:cs="Times New Roman"/>
          <w:szCs w:val="24"/>
        </w:rPr>
        <w:t xml:space="preserve">, 2012). </w:t>
      </w:r>
      <w:r w:rsidR="005144AD" w:rsidRPr="00C562D6">
        <w:rPr>
          <w:rFonts w:ascii="Times New Roman" w:hAnsi="Times New Roman" w:cs="Times New Roman"/>
          <w:szCs w:val="24"/>
        </w:rPr>
        <w:t xml:space="preserve">The </w:t>
      </w:r>
      <w:r w:rsidRPr="00C562D6">
        <w:rPr>
          <w:rFonts w:ascii="Times New Roman" w:hAnsi="Times New Roman" w:cs="Times New Roman"/>
          <w:szCs w:val="24"/>
        </w:rPr>
        <w:t>analysis</w:t>
      </w:r>
      <w:r w:rsidR="005144AD" w:rsidRPr="00C562D6">
        <w:rPr>
          <w:rFonts w:ascii="Times New Roman" w:hAnsi="Times New Roman" w:cs="Times New Roman"/>
          <w:szCs w:val="24"/>
        </w:rPr>
        <w:t xml:space="preserve"> below is based on</w:t>
      </w:r>
      <w:r w:rsidRPr="00C562D6">
        <w:rPr>
          <w:rFonts w:ascii="Times New Roman" w:hAnsi="Times New Roman" w:cs="Times New Roman"/>
          <w:szCs w:val="24"/>
        </w:rPr>
        <w:t xml:space="preserve"> publicly available documents. The focus is on </w:t>
      </w:r>
      <w:r w:rsidR="005144AD" w:rsidRPr="00C562D6">
        <w:rPr>
          <w:rFonts w:ascii="Times New Roman" w:hAnsi="Times New Roman" w:cs="Times New Roman"/>
          <w:szCs w:val="24"/>
        </w:rPr>
        <w:t>relevant</w:t>
      </w:r>
      <w:r w:rsidRPr="00C562D6">
        <w:rPr>
          <w:rFonts w:ascii="Times New Roman" w:hAnsi="Times New Roman" w:cs="Times New Roman"/>
          <w:szCs w:val="24"/>
        </w:rPr>
        <w:t xml:space="preserve"> documents produced by two government bodies the Department for Communities and Local Government (DCLG) and the Homes and Communities Agency (HCA). While the DCLG is </w:t>
      </w:r>
      <w:r w:rsidR="005144AD" w:rsidRPr="00C562D6">
        <w:rPr>
          <w:rFonts w:ascii="Times New Roman" w:hAnsi="Times New Roman" w:cs="Times New Roman"/>
          <w:szCs w:val="24"/>
        </w:rPr>
        <w:t>the</w:t>
      </w:r>
      <w:r w:rsidRPr="00C562D6">
        <w:rPr>
          <w:rFonts w:ascii="Times New Roman" w:hAnsi="Times New Roman" w:cs="Times New Roman"/>
          <w:szCs w:val="24"/>
        </w:rPr>
        <w:t xml:space="preserve"> central government department</w:t>
      </w:r>
      <w:r w:rsidR="005144AD" w:rsidRPr="00C562D6">
        <w:rPr>
          <w:rFonts w:ascii="Times New Roman" w:hAnsi="Times New Roman" w:cs="Times New Roman"/>
          <w:szCs w:val="24"/>
        </w:rPr>
        <w:t xml:space="preserve"> responsible for social housing in England,</w:t>
      </w:r>
      <w:r w:rsidRPr="00C562D6">
        <w:rPr>
          <w:rFonts w:ascii="Times New Roman" w:hAnsi="Times New Roman" w:cs="Times New Roman"/>
          <w:szCs w:val="24"/>
        </w:rPr>
        <w:t xml:space="preserve"> they have transferred the funding of new build social housing and regulatory responsibility to a non-departmental public body, the HCA. The documents </w:t>
      </w:r>
      <w:proofErr w:type="spellStart"/>
      <w:r w:rsidRPr="00C562D6">
        <w:rPr>
          <w:rFonts w:ascii="Times New Roman" w:hAnsi="Times New Roman" w:cs="Times New Roman"/>
          <w:szCs w:val="24"/>
        </w:rPr>
        <w:t>analy</w:t>
      </w:r>
      <w:r w:rsidR="005144AD" w:rsidRPr="00C562D6">
        <w:rPr>
          <w:rFonts w:ascii="Times New Roman" w:hAnsi="Times New Roman" w:cs="Times New Roman"/>
          <w:szCs w:val="24"/>
        </w:rPr>
        <w:t>z</w:t>
      </w:r>
      <w:r w:rsidRPr="00C562D6">
        <w:rPr>
          <w:rFonts w:ascii="Times New Roman" w:hAnsi="Times New Roman" w:cs="Times New Roman"/>
          <w:szCs w:val="24"/>
        </w:rPr>
        <w:t>ed</w:t>
      </w:r>
      <w:proofErr w:type="spellEnd"/>
      <w:r w:rsidRPr="00C562D6">
        <w:rPr>
          <w:rFonts w:ascii="Times New Roman" w:hAnsi="Times New Roman" w:cs="Times New Roman"/>
          <w:szCs w:val="24"/>
        </w:rPr>
        <w:t xml:space="preserve"> include the prospectuses for the 2011-15 and 2015-18 AHPs, along with update and progress reports for the </w:t>
      </w:r>
      <w:r w:rsidR="00142643" w:rsidRPr="00C562D6">
        <w:rPr>
          <w:rFonts w:ascii="Times New Roman" w:hAnsi="Times New Roman" w:cs="Times New Roman"/>
          <w:szCs w:val="24"/>
        </w:rPr>
        <w:t>2011-15 programme. In addition, an NAO (2012) report into the financial viability of the social housing sector under the AHP was also analysed.</w:t>
      </w:r>
    </w:p>
    <w:p w:rsidR="00142643" w:rsidRPr="00C562D6" w:rsidRDefault="00142643" w:rsidP="00142643">
      <w:pPr>
        <w:spacing w:after="240" w:line="480" w:lineRule="auto"/>
        <w:jc w:val="both"/>
        <w:rPr>
          <w:rFonts w:ascii="Times New Roman" w:hAnsi="Times New Roman" w:cs="Times New Roman"/>
          <w:szCs w:val="24"/>
        </w:rPr>
      </w:pPr>
      <w:r w:rsidRPr="00C562D6">
        <w:rPr>
          <w:rFonts w:ascii="Times New Roman" w:hAnsi="Times New Roman" w:cs="Times New Roman"/>
          <w:szCs w:val="24"/>
        </w:rPr>
        <w:t>These reports were supplemented with a review of media reports and opinion pieces in the housing trade publications. In the first instance the reports and trade pieces were read to gain an understanding of the overall functioning of the AHP. Based on this initial impression the reports were read closely</w:t>
      </w:r>
      <w:r w:rsidR="00944E9A" w:rsidRPr="00C562D6">
        <w:rPr>
          <w:rFonts w:ascii="Times New Roman" w:hAnsi="Times New Roman" w:cs="Times New Roman"/>
          <w:szCs w:val="24"/>
        </w:rPr>
        <w:t xml:space="preserve"> to identify key aspects of the financialization process. </w:t>
      </w:r>
      <w:r w:rsidRPr="00C562D6">
        <w:rPr>
          <w:rFonts w:ascii="Times New Roman" w:hAnsi="Times New Roman" w:cs="Times New Roman"/>
          <w:szCs w:val="24"/>
        </w:rPr>
        <w:t xml:space="preserve">  </w:t>
      </w:r>
    </w:p>
    <w:p w:rsidR="004875CA" w:rsidRPr="00C562D6" w:rsidRDefault="004875CA" w:rsidP="00142643">
      <w:pPr>
        <w:spacing w:after="240" w:line="480" w:lineRule="auto"/>
        <w:jc w:val="both"/>
        <w:rPr>
          <w:rFonts w:ascii="Times New Roman" w:hAnsi="Times New Roman" w:cs="Times New Roman"/>
          <w:szCs w:val="24"/>
        </w:rPr>
      </w:pPr>
    </w:p>
    <w:p w:rsidR="004875CA" w:rsidRPr="00C562D6" w:rsidRDefault="004875CA" w:rsidP="00142643">
      <w:pPr>
        <w:spacing w:after="240" w:line="480" w:lineRule="auto"/>
        <w:jc w:val="both"/>
        <w:rPr>
          <w:rFonts w:ascii="Times New Roman" w:hAnsi="Times New Roman" w:cs="Times New Roman"/>
          <w:szCs w:val="24"/>
        </w:rPr>
      </w:pPr>
      <w:r w:rsidRPr="00C562D6">
        <w:rPr>
          <w:rFonts w:ascii="Times New Roman" w:hAnsi="Times New Roman" w:cs="Times New Roman"/>
          <w:szCs w:val="24"/>
          <w:lang w:val="en-GB"/>
        </w:rPr>
        <w:t xml:space="preserve">Bryman and Bell (2011: 571) note that a common approach to analysing qualitative data is </w:t>
      </w:r>
      <w:r w:rsidRPr="00C562D6">
        <w:rPr>
          <w:rFonts w:ascii="Times New Roman" w:hAnsi="Times New Roman" w:cs="Times New Roman"/>
          <w:i/>
          <w:szCs w:val="24"/>
          <w:lang w:val="en-GB"/>
        </w:rPr>
        <w:t>thematic analysis</w:t>
      </w:r>
      <w:r w:rsidRPr="00C562D6">
        <w:rPr>
          <w:rFonts w:ascii="Times New Roman" w:hAnsi="Times New Roman" w:cs="Times New Roman"/>
          <w:szCs w:val="24"/>
          <w:lang w:val="en-GB"/>
        </w:rPr>
        <w:t xml:space="preserve">. There is some disagreement about what a theme is; are they just restricted to codes or do themes transcend any one code or are they built out of codes (Braun and Clarke, 2006). Thomas (2011: 171-172) sets out how themes can emerge through the constant comparative method. The aim of this method is for the researcher to regularly and iteratively </w:t>
      </w:r>
      <w:r w:rsidRPr="00C562D6">
        <w:rPr>
          <w:rFonts w:ascii="Times New Roman" w:hAnsi="Times New Roman" w:cs="Times New Roman"/>
          <w:szCs w:val="24"/>
          <w:lang w:val="en-GB"/>
        </w:rPr>
        <w:lastRenderedPageBreak/>
        <w:t>revisit the data refining the themes each time. In contrast, Braun and Clarke (2006) identify that themes can be derived theoretically as well as inductively. The analysis in this paper follows Braun and Clarke with the themes derived theoretically from the financialization literature and then applied to social housing policy to enable deeper insights.</w:t>
      </w:r>
    </w:p>
    <w:p w:rsidR="00FC04D4" w:rsidRPr="00C562D6" w:rsidRDefault="004875CA" w:rsidP="00142643">
      <w:pPr>
        <w:spacing w:after="240" w:line="480" w:lineRule="auto"/>
        <w:jc w:val="both"/>
        <w:rPr>
          <w:rFonts w:ascii="Times New Roman" w:hAnsi="Times New Roman" w:cs="Times New Roman"/>
          <w:szCs w:val="24"/>
        </w:rPr>
      </w:pPr>
      <w:r w:rsidRPr="00C562D6">
        <w:rPr>
          <w:rFonts w:ascii="Times New Roman" w:hAnsi="Times New Roman" w:cs="Times New Roman"/>
          <w:szCs w:val="24"/>
        </w:rPr>
        <w:t>Finally,</w:t>
      </w:r>
      <w:r w:rsidR="00AD6FD6" w:rsidRPr="00C562D6">
        <w:rPr>
          <w:rFonts w:ascii="Times New Roman" w:hAnsi="Times New Roman" w:cs="Times New Roman"/>
          <w:szCs w:val="24"/>
        </w:rPr>
        <w:t xml:space="preserve"> any analysis of a single policy must be placed in its socio-economic, political and historic context. To that end the next sections provides a brief overview of the housing market in England.</w:t>
      </w:r>
    </w:p>
    <w:p w:rsidR="00065203" w:rsidRPr="00C562D6" w:rsidRDefault="003E2750" w:rsidP="00C50A92">
      <w:pPr>
        <w:pStyle w:val="ListParagraph"/>
        <w:numPr>
          <w:ilvl w:val="0"/>
          <w:numId w:val="8"/>
        </w:numPr>
        <w:spacing w:line="480" w:lineRule="auto"/>
        <w:jc w:val="both"/>
        <w:rPr>
          <w:rFonts w:ascii="Times New Roman" w:hAnsi="Times New Roman" w:cs="Times New Roman"/>
          <w:b/>
          <w:szCs w:val="24"/>
          <w:lang w:val="en-GB"/>
        </w:rPr>
      </w:pPr>
      <w:r w:rsidRPr="00C562D6">
        <w:rPr>
          <w:rFonts w:ascii="Times New Roman" w:hAnsi="Times New Roman" w:cs="Times New Roman"/>
          <w:b/>
          <w:szCs w:val="24"/>
        </w:rPr>
        <w:t>English h</w:t>
      </w:r>
      <w:r w:rsidR="00065203" w:rsidRPr="00C562D6">
        <w:rPr>
          <w:rFonts w:ascii="Times New Roman" w:hAnsi="Times New Roman" w:cs="Times New Roman"/>
          <w:b/>
          <w:szCs w:val="24"/>
        </w:rPr>
        <w:t>ousing market context</w:t>
      </w:r>
    </w:p>
    <w:p w:rsidR="0022682F" w:rsidRPr="00C562D6" w:rsidRDefault="0022682F" w:rsidP="00060A0D">
      <w:pPr>
        <w:autoSpaceDE w:val="0"/>
        <w:autoSpaceDN w:val="0"/>
        <w:adjustRightInd w:val="0"/>
        <w:spacing w:after="240" w:line="480" w:lineRule="auto"/>
        <w:jc w:val="both"/>
        <w:rPr>
          <w:rFonts w:ascii="Times New Roman" w:hAnsi="Times New Roman" w:cs="Times New Roman"/>
          <w:lang w:val="en-GB"/>
        </w:rPr>
      </w:pPr>
      <w:r w:rsidRPr="00C562D6">
        <w:rPr>
          <w:rFonts w:ascii="Times New Roman" w:hAnsi="Times New Roman" w:cs="Times New Roman"/>
        </w:rPr>
        <w:t>The housing market in England has always been composed of different regions with their own characteristics and performance levels. In recent years these differences have become pronounced wit</w:t>
      </w:r>
      <w:r w:rsidR="00FD3B4A" w:rsidRPr="00C562D6">
        <w:rPr>
          <w:rFonts w:ascii="Times New Roman" w:hAnsi="Times New Roman" w:cs="Times New Roman"/>
        </w:rPr>
        <w:t>h the market in London and the S</w:t>
      </w:r>
      <w:r w:rsidRPr="00C562D6">
        <w:rPr>
          <w:rFonts w:ascii="Times New Roman" w:hAnsi="Times New Roman" w:cs="Times New Roman"/>
        </w:rPr>
        <w:t>outheast performing at a qualitatively different level than other English regions. For example, ac</w:t>
      </w:r>
      <w:r w:rsidRPr="00C562D6">
        <w:rPr>
          <w:rFonts w:ascii="Times New Roman" w:hAnsi="Times New Roman" w:cs="Times New Roman"/>
          <w:lang w:val="en-GB"/>
        </w:rPr>
        <w:t>cording ‘to the ONS in October [2013], the average London house price was 12 per cent higher than a year earlier, compared with 1.3 per cent in the North West and 0.8 per cent in Yorkshire &amp; The Humber’</w:t>
      </w:r>
      <w:r w:rsidR="00AC7932" w:rsidRPr="00C562D6">
        <w:rPr>
          <w:rFonts w:ascii="Times New Roman" w:hAnsi="Times New Roman" w:cs="Times New Roman"/>
          <w:lang w:val="en-GB"/>
        </w:rPr>
        <w:t xml:space="preserve"> (Wilcox and Perry, 2014: 46)</w:t>
      </w:r>
      <w:r w:rsidRPr="00C562D6">
        <w:rPr>
          <w:rFonts w:ascii="Times New Roman" w:hAnsi="Times New Roman" w:cs="Times New Roman"/>
          <w:lang w:val="en-GB"/>
        </w:rPr>
        <w:t xml:space="preserve">. </w:t>
      </w:r>
      <w:r w:rsidR="002018F9" w:rsidRPr="00C562D6">
        <w:rPr>
          <w:rFonts w:ascii="Times New Roman" w:hAnsi="Times New Roman" w:cs="Times New Roman"/>
          <w:lang w:val="en-GB"/>
        </w:rPr>
        <w:t>Indeed, an index of regional average house prices suggests that by 2012 London and the Southeast are the only regions</w:t>
      </w:r>
      <w:r w:rsidR="00FD3B4A" w:rsidRPr="00C562D6">
        <w:rPr>
          <w:rFonts w:ascii="Times New Roman" w:hAnsi="Times New Roman" w:cs="Times New Roman"/>
          <w:lang w:val="en-GB"/>
        </w:rPr>
        <w:t xml:space="preserve"> where average house prices</w:t>
      </w:r>
      <w:r w:rsidR="002018F9" w:rsidRPr="00C562D6">
        <w:rPr>
          <w:rFonts w:ascii="Times New Roman" w:hAnsi="Times New Roman" w:cs="Times New Roman"/>
          <w:lang w:val="en-GB"/>
        </w:rPr>
        <w:t xml:space="preserve"> have recovered and surpassed their pre-economic crisis levels</w:t>
      </w:r>
      <w:r w:rsidR="00AC7932" w:rsidRPr="00C562D6">
        <w:rPr>
          <w:rFonts w:ascii="Times New Roman" w:hAnsi="Times New Roman" w:cs="Times New Roman"/>
          <w:lang w:val="en-GB"/>
        </w:rPr>
        <w:t xml:space="preserve"> (Britton, 2014)</w:t>
      </w:r>
      <w:r w:rsidR="002018F9" w:rsidRPr="00C562D6">
        <w:rPr>
          <w:rFonts w:ascii="Times New Roman" w:hAnsi="Times New Roman" w:cs="Times New Roman"/>
          <w:lang w:val="en-GB"/>
        </w:rPr>
        <w:t>.</w:t>
      </w:r>
    </w:p>
    <w:p w:rsidR="00FD429C" w:rsidRPr="00C562D6" w:rsidRDefault="0042226B" w:rsidP="00060A0D">
      <w:pPr>
        <w:autoSpaceDE w:val="0"/>
        <w:autoSpaceDN w:val="0"/>
        <w:adjustRightInd w:val="0"/>
        <w:spacing w:after="240" w:line="480" w:lineRule="auto"/>
        <w:jc w:val="both"/>
        <w:rPr>
          <w:rFonts w:ascii="Times New Roman" w:hAnsi="Times New Roman" w:cs="Times New Roman"/>
        </w:rPr>
      </w:pPr>
      <w:r w:rsidRPr="00C562D6">
        <w:rPr>
          <w:rFonts w:ascii="Times New Roman" w:hAnsi="Times New Roman" w:cs="Times New Roman"/>
        </w:rPr>
        <w:t>This structural division in the English housing market means that care must be taken when using whole England averages for analytical purposes.</w:t>
      </w:r>
      <w:r w:rsidR="00FD429C" w:rsidRPr="00C562D6">
        <w:rPr>
          <w:rFonts w:ascii="Times New Roman" w:hAnsi="Times New Roman" w:cs="Times New Roman"/>
        </w:rPr>
        <w:t xml:space="preserve"> Further there is a growing divergence in housing policy and government interventions in the market</w:t>
      </w:r>
      <w:r w:rsidRPr="00C562D6">
        <w:rPr>
          <w:rFonts w:ascii="Times New Roman" w:hAnsi="Times New Roman" w:cs="Times New Roman"/>
        </w:rPr>
        <w:t xml:space="preserve"> </w:t>
      </w:r>
      <w:r w:rsidR="00FD429C" w:rsidRPr="00C562D6">
        <w:rPr>
          <w:rFonts w:ascii="Times New Roman" w:hAnsi="Times New Roman" w:cs="Times New Roman"/>
        </w:rPr>
        <w:t xml:space="preserve">as housing has now become a devolved service to the Mayor of London and the Greater London Assembly (GLA). </w:t>
      </w:r>
    </w:p>
    <w:p w:rsidR="00EA67B1" w:rsidRPr="00C562D6" w:rsidRDefault="0042226B" w:rsidP="00060A0D">
      <w:pPr>
        <w:autoSpaceDE w:val="0"/>
        <w:autoSpaceDN w:val="0"/>
        <w:adjustRightInd w:val="0"/>
        <w:spacing w:after="240" w:line="480" w:lineRule="auto"/>
        <w:jc w:val="both"/>
        <w:rPr>
          <w:rFonts w:ascii="Times New Roman" w:hAnsi="Times New Roman" w:cs="Times New Roman"/>
          <w:lang w:val="en-GB"/>
        </w:rPr>
      </w:pPr>
      <w:r w:rsidRPr="00C562D6">
        <w:rPr>
          <w:rFonts w:ascii="Times New Roman" w:hAnsi="Times New Roman" w:cs="Times New Roman"/>
        </w:rPr>
        <w:t xml:space="preserve">In addition, there is some debate about the extent to which the government’s </w:t>
      </w:r>
      <w:r w:rsidR="003C1C6E" w:rsidRPr="00C562D6">
        <w:rPr>
          <w:rFonts w:ascii="Times New Roman" w:hAnsi="Times New Roman" w:cs="Times New Roman"/>
        </w:rPr>
        <w:t>policies are driving the apparent development of a new housing bubble in these regions</w:t>
      </w:r>
      <w:r w:rsidR="00AC7932" w:rsidRPr="00C562D6">
        <w:rPr>
          <w:rFonts w:ascii="Times New Roman" w:hAnsi="Times New Roman" w:cs="Times New Roman"/>
        </w:rPr>
        <w:t xml:space="preserve"> (</w:t>
      </w:r>
      <w:r w:rsidR="005144AD" w:rsidRPr="00C562D6">
        <w:rPr>
          <w:rFonts w:ascii="Times New Roman" w:hAnsi="Times New Roman" w:cs="Times New Roman"/>
        </w:rPr>
        <w:t>Britton</w:t>
      </w:r>
      <w:r w:rsidR="00AC7932" w:rsidRPr="00C562D6">
        <w:rPr>
          <w:rFonts w:ascii="Times New Roman" w:hAnsi="Times New Roman" w:cs="Times New Roman"/>
        </w:rPr>
        <w:t>, 2014)</w:t>
      </w:r>
      <w:r w:rsidR="003C1C6E" w:rsidRPr="00C562D6">
        <w:rPr>
          <w:rFonts w:ascii="Times New Roman" w:hAnsi="Times New Roman" w:cs="Times New Roman"/>
        </w:rPr>
        <w:t>.</w:t>
      </w:r>
      <w:r w:rsidR="00FD429C" w:rsidRPr="00C562D6">
        <w:rPr>
          <w:rFonts w:ascii="Times New Roman" w:hAnsi="Times New Roman" w:cs="Times New Roman"/>
        </w:rPr>
        <w:t xml:space="preserve"> </w:t>
      </w:r>
      <w:r w:rsidR="002D0A4D" w:rsidRPr="00C562D6">
        <w:rPr>
          <w:rFonts w:ascii="Times New Roman" w:hAnsi="Times New Roman" w:cs="Times New Roman"/>
        </w:rPr>
        <w:lastRenderedPageBreak/>
        <w:t xml:space="preserve">In </w:t>
      </w:r>
      <w:r w:rsidR="00AC7932" w:rsidRPr="00C562D6">
        <w:rPr>
          <w:rFonts w:ascii="Times New Roman" w:hAnsi="Times New Roman" w:cs="Times New Roman"/>
        </w:rPr>
        <w:t>a</w:t>
      </w:r>
      <w:r w:rsidR="002D0A4D" w:rsidRPr="00C562D6">
        <w:rPr>
          <w:rFonts w:ascii="Times New Roman" w:hAnsi="Times New Roman" w:cs="Times New Roman"/>
        </w:rPr>
        <w:t xml:space="preserve"> commentary </w:t>
      </w:r>
      <w:r w:rsidR="00AC7932" w:rsidRPr="00C562D6">
        <w:rPr>
          <w:rFonts w:ascii="Times New Roman" w:hAnsi="Times New Roman" w:cs="Times New Roman"/>
        </w:rPr>
        <w:t>review the UK housing market</w:t>
      </w:r>
      <w:r w:rsidR="002D0A4D" w:rsidRPr="00C562D6">
        <w:rPr>
          <w:rFonts w:ascii="Times New Roman" w:hAnsi="Times New Roman" w:cs="Times New Roman"/>
        </w:rPr>
        <w:t>, Wilcox and Perry note that there has been an overall recovery in the housing market as measured by increases in both price and transaction levels. Further, ‘g</w:t>
      </w:r>
      <w:r w:rsidR="002D0A4D" w:rsidRPr="00C562D6">
        <w:rPr>
          <w:rFonts w:ascii="Times New Roman" w:hAnsi="Times New Roman" w:cs="Times New Roman"/>
          <w:lang w:val="en-GB"/>
        </w:rPr>
        <w:t>ross mortgage lending in 2013 will exceed £175 billion and is expected to rise to more than £200 billion in 2014 or 2015; this will be the first-time this level has been reached since 2008’</w:t>
      </w:r>
      <w:r w:rsidR="00AC7932" w:rsidRPr="00C562D6">
        <w:rPr>
          <w:rFonts w:ascii="Times New Roman" w:hAnsi="Times New Roman" w:cs="Times New Roman"/>
          <w:lang w:val="en-GB"/>
        </w:rPr>
        <w:t xml:space="preserve"> (Wilcox and Perry, 2014: 47)</w:t>
      </w:r>
      <w:r w:rsidR="002D0A4D" w:rsidRPr="00C562D6">
        <w:rPr>
          <w:rFonts w:ascii="Times New Roman" w:hAnsi="Times New Roman" w:cs="Times New Roman"/>
          <w:lang w:val="en-GB"/>
        </w:rPr>
        <w:t>.</w:t>
      </w:r>
      <w:r w:rsidR="00B54365" w:rsidRPr="00C562D6">
        <w:rPr>
          <w:rFonts w:ascii="Times New Roman" w:hAnsi="Times New Roman" w:cs="Times New Roman"/>
          <w:lang w:val="en-GB"/>
        </w:rPr>
        <w:t xml:space="preserve"> </w:t>
      </w:r>
    </w:p>
    <w:p w:rsidR="002D0A4D" w:rsidRPr="00C562D6" w:rsidRDefault="00B54365" w:rsidP="00060A0D">
      <w:pPr>
        <w:autoSpaceDE w:val="0"/>
        <w:autoSpaceDN w:val="0"/>
        <w:adjustRightInd w:val="0"/>
        <w:spacing w:line="480" w:lineRule="auto"/>
        <w:jc w:val="both"/>
        <w:rPr>
          <w:rFonts w:ascii="Times New Roman" w:hAnsi="Times New Roman" w:cs="Times New Roman"/>
          <w:lang w:val="en-GB"/>
        </w:rPr>
      </w:pPr>
      <w:r w:rsidRPr="00C562D6">
        <w:rPr>
          <w:rFonts w:ascii="Times New Roman" w:hAnsi="Times New Roman" w:cs="Times New Roman"/>
          <w:lang w:val="en-GB"/>
        </w:rPr>
        <w:t>Against these improving indicators, and despite reductions in unemployment rates, there is a general squeeze</w:t>
      </w:r>
      <w:r w:rsidR="004A0D2B" w:rsidRPr="00C562D6">
        <w:rPr>
          <w:rFonts w:ascii="Times New Roman" w:hAnsi="Times New Roman" w:cs="Times New Roman"/>
          <w:lang w:val="en-GB"/>
        </w:rPr>
        <w:t xml:space="preserve"> o</w:t>
      </w:r>
      <w:r w:rsidRPr="00C562D6">
        <w:rPr>
          <w:rFonts w:ascii="Times New Roman" w:hAnsi="Times New Roman" w:cs="Times New Roman"/>
          <w:lang w:val="en-GB"/>
        </w:rPr>
        <w:t>n real wages in the economy. In addition, negative equity remains a significant problem only reducing marginally between 2012 and 2013.</w:t>
      </w:r>
      <w:r w:rsidR="00EA67B1" w:rsidRPr="00C562D6">
        <w:rPr>
          <w:rFonts w:ascii="Times New Roman" w:hAnsi="Times New Roman" w:cs="Times New Roman"/>
          <w:lang w:val="en-GB"/>
        </w:rPr>
        <w:t xml:space="preserve"> More worryingly for the government</w:t>
      </w:r>
      <w:r w:rsidR="00AC7932" w:rsidRPr="00C562D6">
        <w:rPr>
          <w:rFonts w:ascii="Times New Roman" w:hAnsi="Times New Roman" w:cs="Times New Roman"/>
          <w:lang w:val="en-GB"/>
        </w:rPr>
        <w:t>,</w:t>
      </w:r>
      <w:r w:rsidR="00EA67B1" w:rsidRPr="00C562D6">
        <w:rPr>
          <w:rFonts w:ascii="Times New Roman" w:hAnsi="Times New Roman" w:cs="Times New Roman"/>
          <w:lang w:val="en-GB"/>
        </w:rPr>
        <w:t xml:space="preserve"> the ratio of </w:t>
      </w:r>
      <w:r w:rsidR="00BD66CF" w:rsidRPr="00C562D6">
        <w:rPr>
          <w:rFonts w:ascii="Times New Roman" w:hAnsi="Times New Roman" w:cs="Times New Roman"/>
          <w:lang w:val="en-GB"/>
        </w:rPr>
        <w:t>housing costs</w:t>
      </w:r>
      <w:r w:rsidR="00EA67B1" w:rsidRPr="00C562D6">
        <w:rPr>
          <w:rFonts w:ascii="Times New Roman" w:hAnsi="Times New Roman" w:cs="Times New Roman"/>
          <w:lang w:val="en-GB"/>
        </w:rPr>
        <w:t xml:space="preserve"> to incomes remains at historically high levels (even if they have dropped since the crash in 2008); and </w:t>
      </w:r>
      <w:r w:rsidR="00BD66CF" w:rsidRPr="00C562D6">
        <w:rPr>
          <w:rFonts w:ascii="Times New Roman" w:hAnsi="Times New Roman" w:cs="Times New Roman"/>
          <w:lang w:val="en-GB"/>
        </w:rPr>
        <w:t>appear to be</w:t>
      </w:r>
      <w:r w:rsidR="00EA67B1" w:rsidRPr="00C562D6">
        <w:rPr>
          <w:rFonts w:ascii="Times New Roman" w:hAnsi="Times New Roman" w:cs="Times New Roman"/>
          <w:lang w:val="en-GB"/>
        </w:rPr>
        <w:t xml:space="preserve"> increasing again</w:t>
      </w:r>
      <w:r w:rsidR="00AC7932" w:rsidRPr="00C562D6">
        <w:rPr>
          <w:rFonts w:ascii="Times New Roman" w:hAnsi="Times New Roman" w:cs="Times New Roman"/>
          <w:lang w:val="en-GB"/>
        </w:rPr>
        <w:t xml:space="preserve"> (Wilcox and Perry, 2014: Table 43a)</w:t>
      </w:r>
      <w:r w:rsidR="00EA67B1" w:rsidRPr="00C562D6">
        <w:rPr>
          <w:rFonts w:ascii="Times New Roman" w:hAnsi="Times New Roman" w:cs="Times New Roman"/>
          <w:lang w:val="en-GB"/>
        </w:rPr>
        <w:t xml:space="preserve">. This has </w:t>
      </w:r>
      <w:r w:rsidR="00E8670E" w:rsidRPr="00C562D6">
        <w:rPr>
          <w:rFonts w:ascii="Times New Roman" w:hAnsi="Times New Roman" w:cs="Times New Roman"/>
          <w:lang w:val="en-GB"/>
        </w:rPr>
        <w:t>led one housing consultant</w:t>
      </w:r>
      <w:r w:rsidR="00EA67B1" w:rsidRPr="00C562D6">
        <w:rPr>
          <w:rFonts w:ascii="Times New Roman" w:hAnsi="Times New Roman" w:cs="Times New Roman"/>
          <w:lang w:val="en-GB"/>
        </w:rPr>
        <w:t xml:space="preserve"> to comment:</w:t>
      </w:r>
    </w:p>
    <w:p w:rsidR="00EA67B1" w:rsidRPr="00C562D6" w:rsidRDefault="00EA67B1" w:rsidP="00FC04D4">
      <w:pPr>
        <w:autoSpaceDE w:val="0"/>
        <w:autoSpaceDN w:val="0"/>
        <w:adjustRightInd w:val="0"/>
        <w:spacing w:line="480" w:lineRule="auto"/>
        <w:ind w:left="720"/>
        <w:jc w:val="both"/>
        <w:rPr>
          <w:rFonts w:ascii="Times New Roman" w:hAnsi="Times New Roman" w:cs="Times New Roman"/>
        </w:rPr>
      </w:pPr>
      <w:r w:rsidRPr="00C562D6">
        <w:rPr>
          <w:rFonts w:ascii="Times New Roman" w:hAnsi="Times New Roman" w:cs="Times New Roman"/>
        </w:rPr>
        <w:t>Our estimates suggest house prices need to fall by a further 20% to 30% relative to incomes to bring them back to fair value.</w:t>
      </w:r>
    </w:p>
    <w:p w:rsidR="00FC04D4" w:rsidRPr="00C562D6" w:rsidRDefault="00FC04D4" w:rsidP="00FC04D4">
      <w:pPr>
        <w:autoSpaceDE w:val="0"/>
        <w:autoSpaceDN w:val="0"/>
        <w:adjustRightInd w:val="0"/>
        <w:spacing w:line="480" w:lineRule="auto"/>
        <w:ind w:left="720"/>
        <w:jc w:val="right"/>
        <w:rPr>
          <w:rFonts w:ascii="Times New Roman" w:hAnsi="Times New Roman" w:cs="Times New Roman"/>
        </w:rPr>
      </w:pPr>
      <w:r w:rsidRPr="00C562D6">
        <w:rPr>
          <w:rFonts w:ascii="Times New Roman" w:hAnsi="Times New Roman" w:cs="Times New Roman"/>
        </w:rPr>
        <w:t>(Britton, 2014)</w:t>
      </w:r>
    </w:p>
    <w:p w:rsidR="0099220C" w:rsidRPr="00C562D6" w:rsidRDefault="00621CC9" w:rsidP="00060A0D">
      <w:pPr>
        <w:spacing w:after="240" w:line="480" w:lineRule="auto"/>
        <w:jc w:val="both"/>
        <w:rPr>
          <w:rFonts w:ascii="Times New Roman" w:hAnsi="Times New Roman" w:cs="Times New Roman"/>
          <w:szCs w:val="24"/>
        </w:rPr>
      </w:pPr>
      <w:r w:rsidRPr="00C562D6">
        <w:rPr>
          <w:rFonts w:ascii="Times New Roman" w:hAnsi="Times New Roman" w:cs="Times New Roman"/>
          <w:szCs w:val="24"/>
        </w:rPr>
        <w:t>In 2013 the Department for Communities and Local Government (DCLG) published the projected number of households</w:t>
      </w:r>
      <w:r w:rsidR="0099220C" w:rsidRPr="00C562D6">
        <w:rPr>
          <w:rFonts w:ascii="Times New Roman" w:hAnsi="Times New Roman" w:cs="Times New Roman"/>
          <w:szCs w:val="24"/>
        </w:rPr>
        <w:t xml:space="preserve"> over the next decade</w:t>
      </w:r>
      <w:r w:rsidRPr="00C562D6">
        <w:rPr>
          <w:rFonts w:ascii="Times New Roman" w:hAnsi="Times New Roman" w:cs="Times New Roman"/>
          <w:szCs w:val="24"/>
        </w:rPr>
        <w:t xml:space="preserve"> in England based on the 2011 census figures. The projections show that on average there is an expected increase in households of 220,000 per annum to 2021</w:t>
      </w:r>
      <w:r w:rsidR="00FC04D4" w:rsidRPr="00C562D6">
        <w:rPr>
          <w:rFonts w:ascii="Times New Roman" w:hAnsi="Times New Roman" w:cs="Times New Roman"/>
          <w:szCs w:val="24"/>
        </w:rPr>
        <w:t xml:space="preserve"> (Wilcox and Perry, 2014</w:t>
      </w:r>
      <w:r w:rsidR="00CB2D3B" w:rsidRPr="00C562D6">
        <w:rPr>
          <w:rFonts w:ascii="Times New Roman" w:hAnsi="Times New Roman" w:cs="Times New Roman"/>
          <w:szCs w:val="24"/>
        </w:rPr>
        <w:t>a</w:t>
      </w:r>
      <w:r w:rsidR="00FC04D4" w:rsidRPr="00C562D6">
        <w:rPr>
          <w:rFonts w:ascii="Times New Roman" w:hAnsi="Times New Roman" w:cs="Times New Roman"/>
          <w:szCs w:val="24"/>
        </w:rPr>
        <w:t>: 39)</w:t>
      </w:r>
      <w:r w:rsidR="007B18EC" w:rsidRPr="00C562D6">
        <w:rPr>
          <w:rFonts w:ascii="Times New Roman" w:hAnsi="Times New Roman" w:cs="Times New Roman"/>
          <w:szCs w:val="24"/>
        </w:rPr>
        <w:t xml:space="preserve">. </w:t>
      </w:r>
    </w:p>
    <w:p w:rsidR="00621CC9" w:rsidRPr="00C562D6" w:rsidRDefault="007B18EC" w:rsidP="00060A0D">
      <w:pPr>
        <w:spacing w:after="240" w:line="480" w:lineRule="auto"/>
        <w:jc w:val="both"/>
        <w:rPr>
          <w:rFonts w:ascii="Times New Roman" w:hAnsi="Times New Roman" w:cs="Times New Roman"/>
          <w:szCs w:val="24"/>
        </w:rPr>
      </w:pPr>
      <w:r w:rsidRPr="00C562D6">
        <w:rPr>
          <w:rFonts w:ascii="Times New Roman" w:hAnsi="Times New Roman" w:cs="Times New Roman"/>
          <w:szCs w:val="24"/>
        </w:rPr>
        <w:t>Successive governments</w:t>
      </w:r>
      <w:r w:rsidR="00FC04D4" w:rsidRPr="00C562D6">
        <w:rPr>
          <w:rFonts w:ascii="Times New Roman" w:hAnsi="Times New Roman" w:cs="Times New Roman"/>
          <w:szCs w:val="24"/>
        </w:rPr>
        <w:t xml:space="preserve"> and others, including the </w:t>
      </w:r>
      <w:r w:rsidR="00D75EFF" w:rsidRPr="00C562D6">
        <w:rPr>
          <w:rFonts w:ascii="Times New Roman" w:hAnsi="Times New Roman" w:cs="Times New Roman"/>
          <w:szCs w:val="24"/>
        </w:rPr>
        <w:t>Lyons</w:t>
      </w:r>
      <w:r w:rsidR="00FC04D4" w:rsidRPr="00C562D6">
        <w:rPr>
          <w:rFonts w:ascii="Times New Roman" w:hAnsi="Times New Roman" w:cs="Times New Roman"/>
          <w:szCs w:val="24"/>
        </w:rPr>
        <w:t xml:space="preserve"> </w:t>
      </w:r>
      <w:r w:rsidR="00103C22" w:rsidRPr="00C562D6">
        <w:rPr>
          <w:rFonts w:ascii="Times New Roman" w:hAnsi="Times New Roman" w:cs="Times New Roman"/>
          <w:szCs w:val="24"/>
        </w:rPr>
        <w:t>Housing Review</w:t>
      </w:r>
      <w:r w:rsidR="00FC04D4" w:rsidRPr="00C562D6">
        <w:rPr>
          <w:rFonts w:ascii="Times New Roman" w:hAnsi="Times New Roman" w:cs="Times New Roman"/>
          <w:szCs w:val="24"/>
        </w:rPr>
        <w:t xml:space="preserve"> (2014) that was commissioned by the official opposition,</w:t>
      </w:r>
      <w:r w:rsidRPr="00C562D6">
        <w:rPr>
          <w:rFonts w:ascii="Times New Roman" w:hAnsi="Times New Roman" w:cs="Times New Roman"/>
          <w:szCs w:val="24"/>
        </w:rPr>
        <w:t xml:space="preserve"> have argued that there is an undersupply of housing given the historically lower level of </w:t>
      </w:r>
      <w:r w:rsidR="0099220C" w:rsidRPr="00C562D6">
        <w:rPr>
          <w:rFonts w:ascii="Times New Roman" w:hAnsi="Times New Roman" w:cs="Times New Roman"/>
          <w:szCs w:val="24"/>
        </w:rPr>
        <w:t xml:space="preserve">house </w:t>
      </w:r>
      <w:r w:rsidRPr="00C562D6">
        <w:rPr>
          <w:rFonts w:ascii="Times New Roman" w:hAnsi="Times New Roman" w:cs="Times New Roman"/>
          <w:szCs w:val="24"/>
        </w:rPr>
        <w:t>completions and the projected increases in household formations</w:t>
      </w:r>
      <w:r w:rsidR="006F566B" w:rsidRPr="00C562D6">
        <w:rPr>
          <w:rFonts w:ascii="Times New Roman" w:hAnsi="Times New Roman" w:cs="Times New Roman"/>
          <w:szCs w:val="24"/>
        </w:rPr>
        <w:t>. The scale of the undersupply has been challenged by housing studies academics</w:t>
      </w:r>
      <w:r w:rsidR="00FC04D4" w:rsidRPr="00C562D6">
        <w:rPr>
          <w:rFonts w:ascii="Times New Roman" w:hAnsi="Times New Roman" w:cs="Times New Roman"/>
          <w:szCs w:val="24"/>
        </w:rPr>
        <w:t xml:space="preserve"> (Wilcox and Perry, 2014b: 39)</w:t>
      </w:r>
      <w:r w:rsidR="006F566B" w:rsidRPr="00C562D6">
        <w:rPr>
          <w:rFonts w:ascii="Times New Roman" w:hAnsi="Times New Roman" w:cs="Times New Roman"/>
          <w:szCs w:val="24"/>
        </w:rPr>
        <w:t xml:space="preserve">; with Professor Danny Dorling arguing that there has never been as many bedrooms available to occupy in England. Dorling’s main argument </w:t>
      </w:r>
      <w:r w:rsidR="006F566B" w:rsidRPr="00C562D6">
        <w:rPr>
          <w:rFonts w:ascii="Times New Roman" w:hAnsi="Times New Roman" w:cs="Times New Roman"/>
          <w:szCs w:val="24"/>
        </w:rPr>
        <w:lastRenderedPageBreak/>
        <w:t>concerns the inequalities in the housing market</w:t>
      </w:r>
      <w:r w:rsidR="00B129A1" w:rsidRPr="00C562D6">
        <w:rPr>
          <w:rFonts w:ascii="Times New Roman" w:hAnsi="Times New Roman" w:cs="Times New Roman"/>
          <w:szCs w:val="24"/>
        </w:rPr>
        <w:t xml:space="preserve"> resulting in hoarding of properties and a skewed distribution of space among the population</w:t>
      </w:r>
      <w:r w:rsidR="00FC04D4" w:rsidRPr="00C562D6">
        <w:rPr>
          <w:rFonts w:ascii="Times New Roman" w:hAnsi="Times New Roman" w:cs="Times New Roman"/>
          <w:szCs w:val="24"/>
        </w:rPr>
        <w:t xml:space="preserve"> (Dorling, 2014)</w:t>
      </w:r>
      <w:r w:rsidR="00B129A1" w:rsidRPr="00C562D6">
        <w:rPr>
          <w:rFonts w:ascii="Times New Roman" w:hAnsi="Times New Roman" w:cs="Times New Roman"/>
          <w:szCs w:val="24"/>
        </w:rPr>
        <w:t>.</w:t>
      </w:r>
    </w:p>
    <w:p w:rsidR="00B54365" w:rsidRPr="00C562D6" w:rsidRDefault="00B54365" w:rsidP="00060A0D">
      <w:pPr>
        <w:spacing w:after="240" w:line="480" w:lineRule="auto"/>
        <w:jc w:val="both"/>
        <w:rPr>
          <w:rFonts w:ascii="Times New Roman" w:hAnsi="Times New Roman" w:cs="Times New Roman"/>
          <w:bCs/>
        </w:rPr>
      </w:pPr>
      <w:r w:rsidRPr="00C562D6">
        <w:rPr>
          <w:rFonts w:ascii="Times New Roman" w:hAnsi="Times New Roman" w:cs="Times New Roman"/>
          <w:bCs/>
        </w:rPr>
        <w:t xml:space="preserve">Overall government spending plans continue to be squeezed, </w:t>
      </w:r>
      <w:r w:rsidR="00FD429C" w:rsidRPr="00C562D6">
        <w:rPr>
          <w:rFonts w:ascii="Times New Roman" w:hAnsi="Times New Roman" w:cs="Times New Roman"/>
          <w:bCs/>
        </w:rPr>
        <w:t>through the</w:t>
      </w:r>
      <w:r w:rsidRPr="00C562D6">
        <w:rPr>
          <w:rFonts w:ascii="Times New Roman" w:hAnsi="Times New Roman" w:cs="Times New Roman"/>
          <w:bCs/>
        </w:rPr>
        <w:t xml:space="preserve"> austerity agenda of the Coalition</w:t>
      </w:r>
      <w:r w:rsidR="00FD429C" w:rsidRPr="00C562D6">
        <w:rPr>
          <w:rFonts w:ascii="Times New Roman" w:hAnsi="Times New Roman" w:cs="Times New Roman"/>
          <w:bCs/>
        </w:rPr>
        <w:t xml:space="preserve"> government</w:t>
      </w:r>
      <w:r w:rsidRPr="00C562D6">
        <w:rPr>
          <w:rFonts w:ascii="Times New Roman" w:hAnsi="Times New Roman" w:cs="Times New Roman"/>
          <w:bCs/>
        </w:rPr>
        <w:t>. Total Managed Expenditure (TME) is set to increase in cash terms over the period to 2017/18; however in real terms there is expected to be a 1.2 per cent reduction in spending. It is forecast that this will result in a fall in public spending as a proportion of GDP from 45.2 per cent in 2013/14 to 40.5 per cent in 2017/18</w:t>
      </w:r>
      <w:r w:rsidR="00FC04D4" w:rsidRPr="00C562D6">
        <w:rPr>
          <w:rFonts w:ascii="Times New Roman" w:hAnsi="Times New Roman" w:cs="Times New Roman"/>
          <w:bCs/>
        </w:rPr>
        <w:t xml:space="preserve"> (Wilcox and Perry, 2014a: 33)</w:t>
      </w:r>
      <w:r w:rsidRPr="00C562D6">
        <w:rPr>
          <w:rFonts w:ascii="Times New Roman" w:hAnsi="Times New Roman" w:cs="Times New Roman"/>
          <w:bCs/>
        </w:rPr>
        <w:t>.</w:t>
      </w:r>
    </w:p>
    <w:p w:rsidR="003E57C4" w:rsidRPr="00C562D6" w:rsidRDefault="003E57C4" w:rsidP="00060A0D">
      <w:pPr>
        <w:spacing w:after="240" w:line="480" w:lineRule="auto"/>
        <w:jc w:val="both"/>
        <w:rPr>
          <w:rFonts w:ascii="Times New Roman" w:hAnsi="Times New Roman" w:cs="Times New Roman"/>
          <w:szCs w:val="24"/>
        </w:rPr>
      </w:pPr>
      <w:r w:rsidRPr="00C562D6">
        <w:rPr>
          <w:rFonts w:ascii="Times New Roman" w:hAnsi="Times New Roman" w:cs="Times New Roman"/>
          <w:szCs w:val="24"/>
        </w:rPr>
        <w:t xml:space="preserve">There </w:t>
      </w:r>
      <w:r w:rsidR="003E2750" w:rsidRPr="00C562D6">
        <w:rPr>
          <w:rFonts w:ascii="Times New Roman" w:hAnsi="Times New Roman" w:cs="Times New Roman"/>
          <w:szCs w:val="24"/>
        </w:rPr>
        <w:t>remain</w:t>
      </w:r>
      <w:r w:rsidRPr="00C562D6">
        <w:rPr>
          <w:rFonts w:ascii="Times New Roman" w:hAnsi="Times New Roman" w:cs="Times New Roman"/>
          <w:szCs w:val="24"/>
        </w:rPr>
        <w:t xml:space="preserve"> a significant proportion of homes that </w:t>
      </w:r>
      <w:r w:rsidR="00FC04D4" w:rsidRPr="00C562D6">
        <w:rPr>
          <w:rFonts w:ascii="Times New Roman" w:hAnsi="Times New Roman" w:cs="Times New Roman"/>
          <w:szCs w:val="24"/>
        </w:rPr>
        <w:t>have</w:t>
      </w:r>
      <w:r w:rsidRPr="00C562D6">
        <w:rPr>
          <w:rFonts w:ascii="Times New Roman" w:hAnsi="Times New Roman" w:cs="Times New Roman"/>
          <w:szCs w:val="24"/>
        </w:rPr>
        <w:t xml:space="preserve"> not reach</w:t>
      </w:r>
      <w:r w:rsidR="00FC04D4" w:rsidRPr="00C562D6">
        <w:rPr>
          <w:rFonts w:ascii="Times New Roman" w:hAnsi="Times New Roman" w:cs="Times New Roman"/>
          <w:szCs w:val="24"/>
        </w:rPr>
        <w:t>ed</w:t>
      </w:r>
      <w:r w:rsidRPr="00C562D6">
        <w:rPr>
          <w:rFonts w:ascii="Times New Roman" w:hAnsi="Times New Roman" w:cs="Times New Roman"/>
          <w:szCs w:val="24"/>
        </w:rPr>
        <w:t xml:space="preserve"> the Decent Homes standard. While progress was made in the social rented sector over the past ten years with a reduction of nearly half to 15 per cent now not achieving the standard, the </w:t>
      </w:r>
      <w:r w:rsidR="003C3215" w:rsidRPr="00C562D6">
        <w:rPr>
          <w:rFonts w:ascii="Times New Roman" w:hAnsi="Times New Roman" w:cs="Times New Roman"/>
          <w:szCs w:val="24"/>
        </w:rPr>
        <w:t>levels</w:t>
      </w:r>
      <w:r w:rsidRPr="00C562D6">
        <w:rPr>
          <w:rFonts w:ascii="Times New Roman" w:hAnsi="Times New Roman" w:cs="Times New Roman"/>
          <w:szCs w:val="24"/>
        </w:rPr>
        <w:t xml:space="preserve"> of non-decent homes is significantly higher in the private rented</w:t>
      </w:r>
      <w:r w:rsidR="003C3215" w:rsidRPr="00C562D6">
        <w:rPr>
          <w:rFonts w:ascii="Times New Roman" w:hAnsi="Times New Roman" w:cs="Times New Roman"/>
          <w:szCs w:val="24"/>
        </w:rPr>
        <w:t xml:space="preserve"> (33 per cent)</w:t>
      </w:r>
      <w:r w:rsidRPr="00C562D6">
        <w:rPr>
          <w:rFonts w:ascii="Times New Roman" w:hAnsi="Times New Roman" w:cs="Times New Roman"/>
          <w:szCs w:val="24"/>
        </w:rPr>
        <w:t xml:space="preserve"> and home owner</w:t>
      </w:r>
      <w:r w:rsidR="003C3215" w:rsidRPr="00C562D6">
        <w:rPr>
          <w:rFonts w:ascii="Times New Roman" w:hAnsi="Times New Roman" w:cs="Times New Roman"/>
          <w:szCs w:val="24"/>
        </w:rPr>
        <w:t xml:space="preserve"> (20 per cent)</w:t>
      </w:r>
      <w:r w:rsidRPr="00C562D6">
        <w:rPr>
          <w:rFonts w:ascii="Times New Roman" w:hAnsi="Times New Roman" w:cs="Times New Roman"/>
          <w:szCs w:val="24"/>
        </w:rPr>
        <w:t xml:space="preserve"> sectors</w:t>
      </w:r>
      <w:r w:rsidR="00D75EFF" w:rsidRPr="00C562D6">
        <w:rPr>
          <w:rFonts w:ascii="Times New Roman" w:hAnsi="Times New Roman" w:cs="Times New Roman"/>
          <w:szCs w:val="24"/>
        </w:rPr>
        <w:t xml:space="preserve"> (Wilcox and Perry, 2014: 23b)</w:t>
      </w:r>
      <w:r w:rsidR="003C3215" w:rsidRPr="00C562D6">
        <w:rPr>
          <w:rFonts w:ascii="Times New Roman" w:hAnsi="Times New Roman" w:cs="Times New Roman"/>
          <w:szCs w:val="24"/>
        </w:rPr>
        <w:t xml:space="preserve">. However, for the Coalition government addressing this aspect of the housing market is not a </w:t>
      </w:r>
      <w:r w:rsidR="00F149E9" w:rsidRPr="00C562D6">
        <w:rPr>
          <w:rFonts w:ascii="Times New Roman" w:hAnsi="Times New Roman" w:cs="Times New Roman"/>
          <w:szCs w:val="24"/>
        </w:rPr>
        <w:t>priority with the reduction in private improvement grant levels</w:t>
      </w:r>
      <w:r w:rsidR="00D75EFF" w:rsidRPr="00C562D6">
        <w:rPr>
          <w:rFonts w:ascii="Times New Roman" w:hAnsi="Times New Roman" w:cs="Times New Roman"/>
          <w:szCs w:val="24"/>
        </w:rPr>
        <w:t xml:space="preserve"> (Wilcox and Perry, 2014a: 42)</w:t>
      </w:r>
      <w:r w:rsidR="00F149E9" w:rsidRPr="00C562D6">
        <w:rPr>
          <w:rFonts w:ascii="Times New Roman" w:hAnsi="Times New Roman" w:cs="Times New Roman"/>
          <w:szCs w:val="24"/>
        </w:rPr>
        <w:t>.</w:t>
      </w:r>
    </w:p>
    <w:p w:rsidR="00B54365" w:rsidRPr="00C562D6" w:rsidRDefault="00FD429C" w:rsidP="00060A0D">
      <w:pPr>
        <w:spacing w:line="480" w:lineRule="auto"/>
        <w:jc w:val="both"/>
        <w:rPr>
          <w:rFonts w:ascii="Times New Roman" w:hAnsi="Times New Roman" w:cs="Times New Roman"/>
          <w:szCs w:val="24"/>
        </w:rPr>
      </w:pPr>
      <w:r w:rsidRPr="00C562D6">
        <w:rPr>
          <w:rFonts w:ascii="Times New Roman" w:hAnsi="Times New Roman" w:cs="Times New Roman"/>
          <w:szCs w:val="24"/>
        </w:rPr>
        <w:t>To summarise, there are structural divisions with</w:t>
      </w:r>
      <w:r w:rsidR="00D72C39" w:rsidRPr="00C562D6">
        <w:rPr>
          <w:rFonts w:ascii="Times New Roman" w:hAnsi="Times New Roman" w:cs="Times New Roman"/>
          <w:szCs w:val="24"/>
        </w:rPr>
        <w:t>in</w:t>
      </w:r>
      <w:r w:rsidRPr="00C562D6">
        <w:rPr>
          <w:rFonts w:ascii="Times New Roman" w:hAnsi="Times New Roman" w:cs="Times New Roman"/>
          <w:szCs w:val="24"/>
        </w:rPr>
        <w:t xml:space="preserve"> the English housing sector in the main between London/the </w:t>
      </w:r>
      <w:proofErr w:type="gramStart"/>
      <w:r w:rsidRPr="00C562D6">
        <w:rPr>
          <w:rFonts w:ascii="Times New Roman" w:hAnsi="Times New Roman" w:cs="Times New Roman"/>
          <w:szCs w:val="24"/>
        </w:rPr>
        <w:t>Southeast</w:t>
      </w:r>
      <w:proofErr w:type="gramEnd"/>
      <w:r w:rsidRPr="00C562D6">
        <w:rPr>
          <w:rFonts w:ascii="Times New Roman" w:hAnsi="Times New Roman" w:cs="Times New Roman"/>
          <w:szCs w:val="24"/>
        </w:rPr>
        <w:t xml:space="preserve"> and the rest of the country. The medium term will see an increase in the </w:t>
      </w:r>
      <w:r w:rsidR="00990E12" w:rsidRPr="00C562D6">
        <w:rPr>
          <w:rFonts w:ascii="Times New Roman" w:hAnsi="Times New Roman" w:cs="Times New Roman"/>
          <w:szCs w:val="24"/>
        </w:rPr>
        <w:t>number households being formed that will in turn increase demand for housing. Yet despite the recovery in the economy with more employment, many are facing falling real wage levels. Therefore the demand for social and below market rates homes remain</w:t>
      </w:r>
      <w:r w:rsidR="00AA258D" w:rsidRPr="00C562D6">
        <w:rPr>
          <w:rFonts w:ascii="Times New Roman" w:hAnsi="Times New Roman" w:cs="Times New Roman"/>
          <w:szCs w:val="24"/>
        </w:rPr>
        <w:t>s</w:t>
      </w:r>
      <w:r w:rsidR="00990E12" w:rsidRPr="00C562D6">
        <w:rPr>
          <w:rFonts w:ascii="Times New Roman" w:hAnsi="Times New Roman" w:cs="Times New Roman"/>
          <w:szCs w:val="24"/>
        </w:rPr>
        <w:t xml:space="preserve"> high and continue</w:t>
      </w:r>
      <w:r w:rsidR="00AA258D" w:rsidRPr="00C562D6">
        <w:rPr>
          <w:rFonts w:ascii="Times New Roman" w:hAnsi="Times New Roman" w:cs="Times New Roman"/>
          <w:szCs w:val="24"/>
        </w:rPr>
        <w:t>s</w:t>
      </w:r>
      <w:r w:rsidR="00990E12" w:rsidRPr="00C562D6">
        <w:rPr>
          <w:rFonts w:ascii="Times New Roman" w:hAnsi="Times New Roman" w:cs="Times New Roman"/>
          <w:szCs w:val="24"/>
        </w:rPr>
        <w:t xml:space="preserve"> to increase. </w:t>
      </w:r>
    </w:p>
    <w:p w:rsidR="00B54365" w:rsidRPr="00C562D6" w:rsidRDefault="00B54365" w:rsidP="00060A0D">
      <w:pPr>
        <w:spacing w:line="480" w:lineRule="auto"/>
        <w:jc w:val="both"/>
        <w:rPr>
          <w:rFonts w:ascii="Times New Roman" w:hAnsi="Times New Roman" w:cs="Times New Roman"/>
          <w:b/>
          <w:szCs w:val="24"/>
        </w:rPr>
      </w:pPr>
    </w:p>
    <w:p w:rsidR="00065203" w:rsidRPr="00C562D6" w:rsidRDefault="00C50A92" w:rsidP="00060A0D">
      <w:pPr>
        <w:spacing w:line="480" w:lineRule="auto"/>
        <w:jc w:val="both"/>
        <w:rPr>
          <w:rFonts w:ascii="Times New Roman" w:hAnsi="Times New Roman" w:cs="Times New Roman"/>
          <w:i/>
          <w:szCs w:val="24"/>
        </w:rPr>
      </w:pPr>
      <w:r w:rsidRPr="00C562D6">
        <w:rPr>
          <w:rFonts w:ascii="Times New Roman" w:hAnsi="Times New Roman" w:cs="Times New Roman"/>
          <w:i/>
          <w:szCs w:val="24"/>
        </w:rPr>
        <w:t xml:space="preserve">4.1 </w:t>
      </w:r>
      <w:r w:rsidR="003E2750" w:rsidRPr="00C562D6">
        <w:rPr>
          <w:rFonts w:ascii="Times New Roman" w:hAnsi="Times New Roman" w:cs="Times New Roman"/>
          <w:i/>
          <w:szCs w:val="24"/>
        </w:rPr>
        <w:t>Policy</w:t>
      </w:r>
      <w:r w:rsidR="00065203" w:rsidRPr="00C562D6">
        <w:rPr>
          <w:rFonts w:ascii="Times New Roman" w:hAnsi="Times New Roman" w:cs="Times New Roman"/>
          <w:i/>
          <w:szCs w:val="24"/>
        </w:rPr>
        <w:t xml:space="preserve"> context </w:t>
      </w:r>
    </w:p>
    <w:p w:rsidR="00990E12" w:rsidRPr="00C562D6" w:rsidRDefault="00B54365" w:rsidP="00060A0D">
      <w:pPr>
        <w:autoSpaceDE w:val="0"/>
        <w:autoSpaceDN w:val="0"/>
        <w:adjustRightInd w:val="0"/>
        <w:spacing w:after="240" w:line="480" w:lineRule="auto"/>
        <w:jc w:val="both"/>
        <w:rPr>
          <w:rFonts w:ascii="Times New Roman" w:hAnsi="Times New Roman" w:cs="Times New Roman"/>
          <w:bCs/>
          <w:color w:val="000000"/>
        </w:rPr>
      </w:pPr>
      <w:r w:rsidRPr="00C562D6">
        <w:rPr>
          <w:rFonts w:ascii="Times New Roman" w:hAnsi="Times New Roman" w:cs="Times New Roman"/>
        </w:rPr>
        <w:lastRenderedPageBreak/>
        <w:t>From 1979, council housing saw major reductions in funding with different forms of privatisation promoted as a policy aim</w:t>
      </w:r>
      <w:r w:rsidR="003E2750" w:rsidRPr="00C562D6">
        <w:rPr>
          <w:rFonts w:ascii="Times New Roman" w:hAnsi="Times New Roman" w:cs="Times New Roman"/>
        </w:rPr>
        <w:t xml:space="preserve"> (Lee, 2002)</w:t>
      </w:r>
      <w:r w:rsidRPr="00C562D6">
        <w:rPr>
          <w:rFonts w:ascii="Times New Roman" w:hAnsi="Times New Roman" w:cs="Times New Roman"/>
        </w:rPr>
        <w:t>. For example, Wilcox reports that the investment levels in housing by English councils fell by over half, from £12,049 million in 1979/80 to £5,263 million in 2012/13</w:t>
      </w:r>
      <w:r w:rsidRPr="00C562D6">
        <w:rPr>
          <w:rFonts w:ascii="Times New Roman" w:hAnsi="Times New Roman" w:cs="Times New Roman"/>
          <w:vertAlign w:val="superscript"/>
        </w:rPr>
        <w:footnoteReference w:id="5"/>
      </w:r>
      <w:r w:rsidRPr="00C562D6">
        <w:rPr>
          <w:rFonts w:ascii="Times New Roman" w:hAnsi="Times New Roman" w:cs="Times New Roman"/>
        </w:rPr>
        <w:t>.</w:t>
      </w:r>
      <w:r w:rsidR="00990E12" w:rsidRPr="00C562D6">
        <w:rPr>
          <w:rFonts w:ascii="Times New Roman" w:hAnsi="Times New Roman" w:cs="Times New Roman"/>
        </w:rPr>
        <w:t xml:space="preserve"> </w:t>
      </w:r>
      <w:r w:rsidR="00990E12" w:rsidRPr="00C562D6">
        <w:rPr>
          <w:rFonts w:ascii="Times New Roman" w:hAnsi="Times New Roman" w:cs="Times New Roman"/>
          <w:bCs/>
        </w:rPr>
        <w:t>S</w:t>
      </w:r>
      <w:r w:rsidR="00990E12" w:rsidRPr="00C562D6">
        <w:rPr>
          <w:rFonts w:ascii="Times New Roman" w:hAnsi="Times New Roman" w:cs="Times New Roman"/>
          <w:bCs/>
          <w:color w:val="000000"/>
        </w:rPr>
        <w:t>ocial housing has seen a range of reforms over the last 30 years and more, including the Right to Buy (</w:t>
      </w:r>
      <w:proofErr w:type="spellStart"/>
      <w:r w:rsidR="00990E12" w:rsidRPr="00C562D6">
        <w:rPr>
          <w:rFonts w:ascii="Times New Roman" w:hAnsi="Times New Roman" w:cs="Times New Roman"/>
          <w:bCs/>
          <w:color w:val="000000"/>
        </w:rPr>
        <w:t>RtB</w:t>
      </w:r>
      <w:proofErr w:type="spellEnd"/>
      <w:r w:rsidR="00990E12" w:rsidRPr="00C562D6">
        <w:rPr>
          <w:rFonts w:ascii="Times New Roman" w:hAnsi="Times New Roman" w:cs="Times New Roman"/>
          <w:bCs/>
          <w:color w:val="000000"/>
        </w:rPr>
        <w:t xml:space="preserve">), Housing Action Trusts, Tenant Management Organisations and more latterly Private Finance </w:t>
      </w:r>
      <w:r w:rsidR="003E2750" w:rsidRPr="00C562D6">
        <w:rPr>
          <w:rFonts w:ascii="Times New Roman" w:hAnsi="Times New Roman" w:cs="Times New Roman"/>
          <w:bCs/>
          <w:color w:val="000000"/>
        </w:rPr>
        <w:t>s</w:t>
      </w:r>
      <w:r w:rsidR="00990E12" w:rsidRPr="00C562D6">
        <w:rPr>
          <w:rFonts w:ascii="Times New Roman" w:hAnsi="Times New Roman" w:cs="Times New Roman"/>
          <w:bCs/>
          <w:color w:val="000000"/>
        </w:rPr>
        <w:t xml:space="preserve">chemes. </w:t>
      </w:r>
    </w:p>
    <w:p w:rsidR="00B54365" w:rsidRPr="00C562D6" w:rsidRDefault="00091246" w:rsidP="00060A0D">
      <w:pPr>
        <w:autoSpaceDE w:val="0"/>
        <w:autoSpaceDN w:val="0"/>
        <w:adjustRightInd w:val="0"/>
        <w:spacing w:after="240" w:line="480" w:lineRule="auto"/>
        <w:jc w:val="both"/>
        <w:rPr>
          <w:rFonts w:ascii="Times New Roman" w:hAnsi="Times New Roman" w:cs="Times New Roman"/>
          <w:bCs/>
          <w:color w:val="000000"/>
        </w:rPr>
      </w:pPr>
      <w:r w:rsidRPr="00C562D6">
        <w:rPr>
          <w:rFonts w:ascii="Times New Roman" w:hAnsi="Times New Roman" w:cs="Times New Roman"/>
          <w:bCs/>
          <w:color w:val="000000"/>
        </w:rPr>
        <w:t xml:space="preserve">The social housing sector has reduced in size from its peak in the mid-1970s of over 30 per cent of the total housing market to 17.5 per cent by 2011 (Wilcox and Pawson, 2013: Table 17b). </w:t>
      </w:r>
      <w:r w:rsidR="00990E12" w:rsidRPr="00C562D6">
        <w:rPr>
          <w:rFonts w:ascii="Times New Roman" w:hAnsi="Times New Roman" w:cs="Times New Roman"/>
          <w:bCs/>
          <w:color w:val="000000"/>
        </w:rPr>
        <w:t xml:space="preserve">Second only to the </w:t>
      </w:r>
      <w:proofErr w:type="spellStart"/>
      <w:r w:rsidR="00990E12" w:rsidRPr="00C562D6">
        <w:rPr>
          <w:rFonts w:ascii="Times New Roman" w:hAnsi="Times New Roman" w:cs="Times New Roman"/>
          <w:bCs/>
          <w:color w:val="000000"/>
        </w:rPr>
        <w:t>RtB</w:t>
      </w:r>
      <w:proofErr w:type="spellEnd"/>
      <w:r w:rsidR="00990E12" w:rsidRPr="00C562D6">
        <w:rPr>
          <w:rFonts w:ascii="Times New Roman" w:hAnsi="Times New Roman" w:cs="Times New Roman"/>
          <w:bCs/>
          <w:color w:val="000000"/>
        </w:rPr>
        <w:t xml:space="preserve"> policy, Large-scale Voluntary Transfers – where</w:t>
      </w:r>
      <w:r w:rsidR="0099220C" w:rsidRPr="00C562D6">
        <w:rPr>
          <w:rFonts w:ascii="Times New Roman" w:hAnsi="Times New Roman" w:cs="Times New Roman"/>
          <w:bCs/>
          <w:color w:val="000000"/>
        </w:rPr>
        <w:t>,</w:t>
      </w:r>
      <w:r w:rsidR="00990E12" w:rsidRPr="00C562D6">
        <w:rPr>
          <w:rFonts w:ascii="Times New Roman" w:hAnsi="Times New Roman" w:cs="Times New Roman"/>
          <w:bCs/>
          <w:color w:val="000000"/>
        </w:rPr>
        <w:t xml:space="preserve"> with the tenants consent</w:t>
      </w:r>
      <w:r w:rsidR="0099220C" w:rsidRPr="00C562D6">
        <w:rPr>
          <w:rFonts w:ascii="Times New Roman" w:hAnsi="Times New Roman" w:cs="Times New Roman"/>
          <w:bCs/>
          <w:color w:val="000000"/>
        </w:rPr>
        <w:t>,</w:t>
      </w:r>
      <w:r w:rsidR="00990E12" w:rsidRPr="00C562D6">
        <w:rPr>
          <w:rFonts w:ascii="Times New Roman" w:hAnsi="Times New Roman" w:cs="Times New Roman"/>
          <w:bCs/>
          <w:color w:val="000000"/>
        </w:rPr>
        <w:t xml:space="preserve"> a local authority hands their housing stock over to a housing association – have had the biggest restructuring impact on the sector. In unit terms the </w:t>
      </w:r>
      <w:proofErr w:type="spellStart"/>
      <w:r w:rsidR="00990E12" w:rsidRPr="00C562D6">
        <w:rPr>
          <w:rFonts w:ascii="Times New Roman" w:hAnsi="Times New Roman" w:cs="Times New Roman"/>
          <w:bCs/>
          <w:color w:val="000000"/>
        </w:rPr>
        <w:t>RtB</w:t>
      </w:r>
      <w:proofErr w:type="spellEnd"/>
      <w:r w:rsidR="00990E12" w:rsidRPr="00C562D6">
        <w:rPr>
          <w:rFonts w:ascii="Times New Roman" w:hAnsi="Times New Roman" w:cs="Times New Roman"/>
          <w:bCs/>
          <w:color w:val="000000"/>
        </w:rPr>
        <w:t xml:space="preserve"> has seen nearly 1.9 million homes privati</w:t>
      </w:r>
      <w:r w:rsidR="001872F5" w:rsidRPr="00C562D6">
        <w:rPr>
          <w:rFonts w:ascii="Times New Roman" w:hAnsi="Times New Roman" w:cs="Times New Roman"/>
          <w:bCs/>
          <w:color w:val="000000"/>
        </w:rPr>
        <w:t>z</w:t>
      </w:r>
      <w:r w:rsidR="00990E12" w:rsidRPr="00C562D6">
        <w:rPr>
          <w:rFonts w:ascii="Times New Roman" w:hAnsi="Times New Roman" w:cs="Times New Roman"/>
          <w:bCs/>
          <w:color w:val="000000"/>
        </w:rPr>
        <w:t>ed in England up to 2011/12</w:t>
      </w:r>
      <w:r w:rsidR="003E2750" w:rsidRPr="00C562D6">
        <w:rPr>
          <w:rFonts w:ascii="Times New Roman" w:hAnsi="Times New Roman" w:cs="Times New Roman"/>
          <w:bCs/>
          <w:color w:val="000000"/>
        </w:rPr>
        <w:t xml:space="preserve"> (Wilcox and Pawson, 2013: Table 20a)</w:t>
      </w:r>
      <w:r w:rsidR="00990E12" w:rsidRPr="00C562D6">
        <w:rPr>
          <w:rFonts w:ascii="Times New Roman" w:hAnsi="Times New Roman" w:cs="Times New Roman"/>
          <w:bCs/>
          <w:color w:val="000000"/>
        </w:rPr>
        <w:t>; by way of contrast the LSVT policy has resulted in 1,2</w:t>
      </w:r>
      <w:r w:rsidR="001271B2" w:rsidRPr="00C562D6">
        <w:rPr>
          <w:rFonts w:ascii="Times New Roman" w:hAnsi="Times New Roman" w:cs="Times New Roman"/>
          <w:bCs/>
          <w:color w:val="000000"/>
        </w:rPr>
        <w:t>83</w:t>
      </w:r>
      <w:r w:rsidR="00990E12" w:rsidRPr="00C562D6">
        <w:rPr>
          <w:rFonts w:ascii="Times New Roman" w:hAnsi="Times New Roman" w:cs="Times New Roman"/>
          <w:bCs/>
          <w:color w:val="000000"/>
        </w:rPr>
        <w:t>,</w:t>
      </w:r>
      <w:r w:rsidR="001271B2" w:rsidRPr="00C562D6">
        <w:rPr>
          <w:rFonts w:ascii="Times New Roman" w:hAnsi="Times New Roman" w:cs="Times New Roman"/>
          <w:bCs/>
          <w:color w:val="000000"/>
        </w:rPr>
        <w:t>208</w:t>
      </w:r>
      <w:r w:rsidR="001872F5" w:rsidRPr="00C562D6">
        <w:rPr>
          <w:rFonts w:ascii="Times New Roman" w:hAnsi="Times New Roman" w:cs="Times New Roman"/>
          <w:bCs/>
          <w:color w:val="000000"/>
        </w:rPr>
        <w:t xml:space="preserve"> homes being privatiz</w:t>
      </w:r>
      <w:r w:rsidR="00990E12" w:rsidRPr="00C562D6">
        <w:rPr>
          <w:rFonts w:ascii="Times New Roman" w:hAnsi="Times New Roman" w:cs="Times New Roman"/>
          <w:bCs/>
          <w:color w:val="000000"/>
        </w:rPr>
        <w:t>ed from 1988 – 201</w:t>
      </w:r>
      <w:r w:rsidR="001271B2" w:rsidRPr="00C562D6">
        <w:rPr>
          <w:rFonts w:ascii="Times New Roman" w:hAnsi="Times New Roman" w:cs="Times New Roman"/>
          <w:bCs/>
          <w:color w:val="000000"/>
        </w:rPr>
        <w:t>2</w:t>
      </w:r>
      <w:r w:rsidR="003E2750" w:rsidRPr="00C562D6">
        <w:rPr>
          <w:rFonts w:ascii="Times New Roman" w:hAnsi="Times New Roman" w:cs="Times New Roman"/>
          <w:bCs/>
          <w:color w:val="000000"/>
        </w:rPr>
        <w:t xml:space="preserve"> (Wilcox and Pawson, 2013: Table 68a)</w:t>
      </w:r>
      <w:r w:rsidR="00990E12" w:rsidRPr="00C562D6">
        <w:rPr>
          <w:rFonts w:ascii="Times New Roman" w:hAnsi="Times New Roman" w:cs="Times New Roman"/>
          <w:bCs/>
          <w:color w:val="000000"/>
        </w:rPr>
        <w:t>.</w:t>
      </w:r>
    </w:p>
    <w:p w:rsidR="001271B2" w:rsidRPr="00C562D6" w:rsidRDefault="001271B2" w:rsidP="00060A0D">
      <w:pPr>
        <w:autoSpaceDE w:val="0"/>
        <w:autoSpaceDN w:val="0"/>
        <w:adjustRightInd w:val="0"/>
        <w:spacing w:after="240" w:line="480" w:lineRule="auto"/>
        <w:jc w:val="both"/>
        <w:rPr>
          <w:rFonts w:ascii="Times New Roman" w:hAnsi="Times New Roman" w:cs="Times New Roman"/>
          <w:bCs/>
          <w:color w:val="000000"/>
        </w:rPr>
      </w:pPr>
      <w:r w:rsidRPr="00C562D6">
        <w:rPr>
          <w:rFonts w:ascii="Times New Roman" w:hAnsi="Times New Roman" w:cs="Times New Roman"/>
          <w:bCs/>
          <w:color w:val="000000"/>
        </w:rPr>
        <w:t>Housing Associations have therefore become a major and significant actor in the housing market as a whole and the social/below market rate sector specifically. Along with this reduction the sector has been restructured</w:t>
      </w:r>
      <w:r w:rsidR="0099220C" w:rsidRPr="00C562D6">
        <w:rPr>
          <w:rFonts w:ascii="Times New Roman" w:hAnsi="Times New Roman" w:cs="Times New Roman"/>
          <w:bCs/>
          <w:color w:val="000000"/>
        </w:rPr>
        <w:t>,</w:t>
      </w:r>
      <w:r w:rsidRPr="00C562D6">
        <w:rPr>
          <w:rFonts w:ascii="Times New Roman" w:hAnsi="Times New Roman" w:cs="Times New Roman"/>
          <w:bCs/>
          <w:color w:val="000000"/>
        </w:rPr>
        <w:t xml:space="preserve"> so that</w:t>
      </w:r>
      <w:r w:rsidR="00091246" w:rsidRPr="00C562D6">
        <w:rPr>
          <w:rFonts w:ascii="Times New Roman" w:hAnsi="Times New Roman" w:cs="Times New Roman"/>
          <w:bCs/>
          <w:color w:val="000000"/>
        </w:rPr>
        <w:t xml:space="preserve"> </w:t>
      </w:r>
      <w:r w:rsidRPr="00C562D6">
        <w:rPr>
          <w:rFonts w:ascii="Times New Roman" w:hAnsi="Times New Roman" w:cs="Times New Roman"/>
          <w:bCs/>
          <w:color w:val="000000"/>
        </w:rPr>
        <w:t>housing association</w:t>
      </w:r>
      <w:r w:rsidR="00091246" w:rsidRPr="00C562D6">
        <w:rPr>
          <w:rFonts w:ascii="Times New Roman" w:hAnsi="Times New Roman" w:cs="Times New Roman"/>
          <w:bCs/>
          <w:color w:val="000000"/>
        </w:rPr>
        <w:t>s</w:t>
      </w:r>
      <w:r w:rsidRPr="00C562D6">
        <w:rPr>
          <w:rFonts w:ascii="Times New Roman" w:hAnsi="Times New Roman" w:cs="Times New Roman"/>
          <w:bCs/>
          <w:color w:val="000000"/>
        </w:rPr>
        <w:t xml:space="preserve"> now provide slightly more social/affordable rented homes than local authorities do.</w:t>
      </w:r>
    </w:p>
    <w:p w:rsidR="00D114C7" w:rsidRPr="00C562D6" w:rsidRDefault="001271B2" w:rsidP="00060A0D">
      <w:pPr>
        <w:autoSpaceDE w:val="0"/>
        <w:autoSpaceDN w:val="0"/>
        <w:adjustRightInd w:val="0"/>
        <w:spacing w:line="480" w:lineRule="auto"/>
        <w:jc w:val="both"/>
        <w:rPr>
          <w:rFonts w:ascii="Times New Roman" w:hAnsi="Times New Roman" w:cs="Times New Roman"/>
          <w:bCs/>
          <w:color w:val="000000"/>
        </w:rPr>
      </w:pPr>
      <w:r w:rsidRPr="00C562D6">
        <w:rPr>
          <w:rFonts w:ascii="Times New Roman" w:hAnsi="Times New Roman" w:cs="Times New Roman"/>
          <w:bCs/>
          <w:color w:val="000000"/>
        </w:rPr>
        <w:t xml:space="preserve">The housing association </w:t>
      </w:r>
      <w:r w:rsidR="00D114C7" w:rsidRPr="00C562D6">
        <w:rPr>
          <w:rFonts w:ascii="Times New Roman" w:hAnsi="Times New Roman" w:cs="Times New Roman"/>
          <w:bCs/>
          <w:color w:val="000000"/>
        </w:rPr>
        <w:t xml:space="preserve">sector is now a combination of traditional philanthropic associations alongside more recent transfer associations formed since the changes in the 1988 Housing Act allowed for the development of the LSVT policy. The sector is big business, </w:t>
      </w:r>
    </w:p>
    <w:p w:rsidR="001271B2" w:rsidRPr="00C562D6" w:rsidRDefault="00D114C7" w:rsidP="00060A0D">
      <w:pPr>
        <w:autoSpaceDE w:val="0"/>
        <w:autoSpaceDN w:val="0"/>
        <w:adjustRightInd w:val="0"/>
        <w:spacing w:line="480" w:lineRule="auto"/>
        <w:ind w:left="720"/>
        <w:jc w:val="both"/>
        <w:rPr>
          <w:rFonts w:ascii="Times New Roman" w:hAnsi="Times New Roman" w:cs="Times New Roman"/>
          <w:bCs/>
          <w:color w:val="000000"/>
        </w:rPr>
      </w:pPr>
      <w:r w:rsidRPr="00C562D6">
        <w:rPr>
          <w:rFonts w:ascii="Times New Roman" w:hAnsi="Times New Roman" w:cs="Times New Roman"/>
          <w:bCs/>
          <w:color w:val="000000"/>
        </w:rPr>
        <w:lastRenderedPageBreak/>
        <w:t xml:space="preserve">according to the </w:t>
      </w:r>
      <w:r w:rsidRPr="00C562D6">
        <w:rPr>
          <w:rFonts w:ascii="Times New Roman" w:hAnsi="Times New Roman" w:cs="Times New Roman"/>
          <w:bCs/>
          <w:i/>
          <w:color w:val="000000"/>
        </w:rPr>
        <w:t>HA Global Accounts 2012</w:t>
      </w:r>
      <w:r w:rsidRPr="00C562D6">
        <w:rPr>
          <w:rFonts w:ascii="Times New Roman" w:hAnsi="Times New Roman" w:cs="Times New Roman"/>
          <w:bCs/>
          <w:color w:val="000000"/>
        </w:rPr>
        <w:t xml:space="preserve"> turnover rose by 9% to 13.8 billion ... profits from property sales were up from £326 million in 2011 to £516 million in 2012 ... The sector turned in an overall net surplus of £1.78 billion up from £1.12 billion the previous year</w:t>
      </w:r>
      <w:r w:rsidR="0004367A" w:rsidRPr="00C562D6">
        <w:rPr>
          <w:rFonts w:ascii="Times New Roman" w:hAnsi="Times New Roman" w:cs="Times New Roman"/>
          <w:bCs/>
          <w:color w:val="000000"/>
        </w:rPr>
        <w:t>. Total assets increased by 5.6%, with the Gross Book Value of housing properties increased by 8% to £118.1 billion. Debt per housing unit increased to £18,372.</w:t>
      </w:r>
    </w:p>
    <w:p w:rsidR="00091246" w:rsidRPr="00C562D6" w:rsidRDefault="00091246" w:rsidP="00091246">
      <w:pPr>
        <w:autoSpaceDE w:val="0"/>
        <w:autoSpaceDN w:val="0"/>
        <w:adjustRightInd w:val="0"/>
        <w:spacing w:after="240" w:line="480" w:lineRule="auto"/>
        <w:ind w:left="720"/>
        <w:jc w:val="right"/>
        <w:rPr>
          <w:rFonts w:ascii="Times New Roman" w:hAnsi="Times New Roman" w:cs="Times New Roman"/>
          <w:bCs/>
          <w:color w:val="000000"/>
        </w:rPr>
      </w:pPr>
      <w:r w:rsidRPr="00C562D6">
        <w:rPr>
          <w:rFonts w:ascii="Times New Roman" w:hAnsi="Times New Roman" w:cs="Times New Roman"/>
          <w:bCs/>
          <w:color w:val="000000"/>
        </w:rPr>
        <w:t>Heywood (2013: 27-28)</w:t>
      </w:r>
    </w:p>
    <w:p w:rsidR="00B54365" w:rsidRPr="00C562D6" w:rsidRDefault="0004367A" w:rsidP="00060A0D">
      <w:pPr>
        <w:autoSpaceDE w:val="0"/>
        <w:autoSpaceDN w:val="0"/>
        <w:adjustRightInd w:val="0"/>
        <w:spacing w:line="480" w:lineRule="auto"/>
        <w:jc w:val="both"/>
        <w:rPr>
          <w:rFonts w:ascii="Times New Roman" w:hAnsi="Times New Roman" w:cs="Times New Roman"/>
        </w:rPr>
      </w:pPr>
      <w:r w:rsidRPr="00C562D6">
        <w:rPr>
          <w:rFonts w:ascii="Times New Roman" w:hAnsi="Times New Roman" w:cs="Times New Roman"/>
        </w:rPr>
        <w:t xml:space="preserve">The sector is also dynamic with evidence of takeovers and mergers leading to centralisation and concentration. </w:t>
      </w:r>
      <w:r w:rsidR="00B54365" w:rsidRPr="00C562D6">
        <w:rPr>
          <w:rFonts w:ascii="Times New Roman" w:hAnsi="Times New Roman" w:cs="Times New Roman"/>
        </w:rPr>
        <w:t>The Cambridge Centre for Housing and Planning Research reported that:</w:t>
      </w:r>
    </w:p>
    <w:p w:rsidR="00B54365" w:rsidRPr="00C562D6" w:rsidRDefault="00B54365" w:rsidP="00060A0D">
      <w:pPr>
        <w:autoSpaceDE w:val="0"/>
        <w:autoSpaceDN w:val="0"/>
        <w:adjustRightInd w:val="0"/>
        <w:spacing w:line="480" w:lineRule="auto"/>
        <w:ind w:left="720"/>
        <w:jc w:val="both"/>
        <w:rPr>
          <w:rFonts w:ascii="Times New Roman" w:hAnsi="Times New Roman" w:cs="Times New Roman"/>
          <w:szCs w:val="24"/>
        </w:rPr>
      </w:pPr>
      <w:r w:rsidRPr="00C562D6">
        <w:rPr>
          <w:rFonts w:ascii="Times New Roman" w:hAnsi="Times New Roman" w:cs="Times New Roman"/>
          <w:szCs w:val="24"/>
        </w:rPr>
        <w:t xml:space="preserve">In 2008/09, the number of HAs operating in England was 1,578. This represented a decrease of six percent (or 98 HAs fewer) over the previous year and 18 percent (347 HAs fewer) since 2002/03. </w:t>
      </w:r>
    </w:p>
    <w:p w:rsidR="00331E7A" w:rsidRPr="00C562D6" w:rsidRDefault="00331E7A" w:rsidP="00331E7A">
      <w:pPr>
        <w:autoSpaceDE w:val="0"/>
        <w:autoSpaceDN w:val="0"/>
        <w:adjustRightInd w:val="0"/>
        <w:spacing w:line="480" w:lineRule="auto"/>
        <w:ind w:left="720"/>
        <w:jc w:val="right"/>
        <w:rPr>
          <w:rFonts w:ascii="Times New Roman" w:hAnsi="Times New Roman" w:cs="Times New Roman"/>
        </w:rPr>
      </w:pPr>
      <w:r w:rsidRPr="00C562D6">
        <w:rPr>
          <w:rFonts w:ascii="Times New Roman" w:hAnsi="Times New Roman" w:cs="Times New Roman"/>
          <w:szCs w:val="24"/>
        </w:rPr>
        <w:t>Tang (2010: 3)</w:t>
      </w:r>
    </w:p>
    <w:p w:rsidR="00152A99" w:rsidRPr="00C562D6" w:rsidRDefault="00B54365" w:rsidP="00060A0D">
      <w:pPr>
        <w:spacing w:after="240" w:line="480" w:lineRule="auto"/>
        <w:jc w:val="both"/>
        <w:rPr>
          <w:rFonts w:ascii="Times New Roman" w:hAnsi="Times New Roman" w:cs="Times New Roman"/>
          <w:szCs w:val="24"/>
        </w:rPr>
      </w:pPr>
      <w:r w:rsidRPr="00C562D6">
        <w:rPr>
          <w:rFonts w:ascii="Times New Roman" w:hAnsi="Times New Roman" w:cs="Times New Roman"/>
        </w:rPr>
        <w:t xml:space="preserve">Further, the biggest reduction in the sector occurred </w:t>
      </w:r>
      <w:r w:rsidR="0099220C" w:rsidRPr="00C562D6">
        <w:rPr>
          <w:rFonts w:ascii="Times New Roman" w:hAnsi="Times New Roman" w:cs="Times New Roman"/>
        </w:rPr>
        <w:t>among</w:t>
      </w:r>
      <w:r w:rsidRPr="00C562D6">
        <w:rPr>
          <w:rFonts w:ascii="Times New Roman" w:hAnsi="Times New Roman" w:cs="Times New Roman"/>
        </w:rPr>
        <w:t xml:space="preserve"> the very small housing associations (i.e. those with less than 250 homes). Whereas at the top end, the super-large HAs (i.e. those with more than 10,000 homes) continued to grow where ‘i</w:t>
      </w:r>
      <w:r w:rsidRPr="00C562D6">
        <w:rPr>
          <w:rFonts w:ascii="Times New Roman" w:hAnsi="Times New Roman" w:cs="Times New Roman"/>
          <w:szCs w:val="24"/>
        </w:rPr>
        <w:t>n 2008/09, there were 54 such super-large HAs compared with 29 in 2002/03’</w:t>
      </w:r>
      <w:r w:rsidR="00585270" w:rsidRPr="00C562D6">
        <w:rPr>
          <w:rFonts w:ascii="Times New Roman" w:hAnsi="Times New Roman" w:cs="Times New Roman"/>
          <w:szCs w:val="24"/>
        </w:rPr>
        <w:t xml:space="preserve"> (Tang, 2010:3)</w:t>
      </w:r>
      <w:r w:rsidR="00152A99" w:rsidRPr="00C562D6">
        <w:rPr>
          <w:rFonts w:ascii="Times New Roman" w:hAnsi="Times New Roman" w:cs="Times New Roman"/>
          <w:szCs w:val="24"/>
        </w:rPr>
        <w:t>.</w:t>
      </w:r>
    </w:p>
    <w:p w:rsidR="00763257" w:rsidRPr="00C562D6" w:rsidRDefault="00763257" w:rsidP="00060A0D">
      <w:pPr>
        <w:spacing w:after="240" w:line="480" w:lineRule="auto"/>
        <w:jc w:val="both"/>
        <w:rPr>
          <w:rFonts w:ascii="Times New Roman" w:hAnsi="Times New Roman" w:cs="Times New Roman"/>
          <w:bCs/>
          <w:color w:val="000000"/>
        </w:rPr>
      </w:pPr>
      <w:r w:rsidRPr="00C562D6">
        <w:rPr>
          <w:rFonts w:ascii="Times New Roman" w:hAnsi="Times New Roman" w:cs="Times New Roman"/>
          <w:bCs/>
          <w:color w:val="000000"/>
        </w:rPr>
        <w:t>In terms of new</w:t>
      </w:r>
      <w:r w:rsidR="0099220C" w:rsidRPr="00C562D6">
        <w:rPr>
          <w:rFonts w:ascii="Times New Roman" w:hAnsi="Times New Roman" w:cs="Times New Roman"/>
          <w:bCs/>
          <w:color w:val="000000"/>
        </w:rPr>
        <w:t xml:space="preserve"> house building</w:t>
      </w:r>
      <w:r w:rsidRPr="00C562D6">
        <w:rPr>
          <w:rFonts w:ascii="Times New Roman" w:hAnsi="Times New Roman" w:cs="Times New Roman"/>
          <w:bCs/>
          <w:color w:val="000000"/>
        </w:rPr>
        <w:t>, local authorities have been severally restricted from developing over the past thirty years. This has resulted in council house building starts falling from over 100,000 in 1975 to just a few hundred each year throughout the 1990s and 2000s</w:t>
      </w:r>
      <w:r w:rsidR="00585270" w:rsidRPr="00C562D6">
        <w:rPr>
          <w:rFonts w:ascii="Times New Roman" w:hAnsi="Times New Roman" w:cs="Times New Roman"/>
          <w:bCs/>
          <w:color w:val="000000"/>
        </w:rPr>
        <w:t xml:space="preserve"> (Wilcox and Perry, 2014a: Table 19a)</w:t>
      </w:r>
      <w:r w:rsidRPr="00C562D6">
        <w:rPr>
          <w:rFonts w:ascii="Times New Roman" w:hAnsi="Times New Roman" w:cs="Times New Roman"/>
          <w:bCs/>
          <w:color w:val="000000"/>
        </w:rPr>
        <w:t>. However, the</w:t>
      </w:r>
      <w:r w:rsidR="00597C10" w:rsidRPr="00C562D6">
        <w:rPr>
          <w:rFonts w:ascii="Times New Roman" w:hAnsi="Times New Roman" w:cs="Times New Roman"/>
          <w:bCs/>
          <w:color w:val="000000"/>
        </w:rPr>
        <w:t xml:space="preserve"> withdrawal of a public house building programme has not led to an expansion of private sector house building ‘as predicted in the hypothesis that the state had crowded out the private sector; in fact, total new construction declined’ from its high point in 1975</w:t>
      </w:r>
      <w:r w:rsidR="00585270" w:rsidRPr="00C562D6">
        <w:rPr>
          <w:rFonts w:ascii="Times New Roman" w:hAnsi="Times New Roman" w:cs="Times New Roman"/>
          <w:bCs/>
          <w:color w:val="000000"/>
        </w:rPr>
        <w:t xml:space="preserve"> (</w:t>
      </w:r>
      <w:proofErr w:type="spellStart"/>
      <w:r w:rsidR="00585270" w:rsidRPr="00C562D6">
        <w:rPr>
          <w:rFonts w:ascii="Times New Roman" w:hAnsi="Times New Roman" w:cs="Times New Roman"/>
          <w:bCs/>
          <w:color w:val="000000"/>
        </w:rPr>
        <w:t>Murie</w:t>
      </w:r>
      <w:proofErr w:type="spellEnd"/>
      <w:r w:rsidR="00585270" w:rsidRPr="00C562D6">
        <w:rPr>
          <w:rFonts w:ascii="Times New Roman" w:hAnsi="Times New Roman" w:cs="Times New Roman"/>
          <w:bCs/>
          <w:color w:val="000000"/>
        </w:rPr>
        <w:t>, 2012: 1032)</w:t>
      </w:r>
      <w:r w:rsidR="00597C10" w:rsidRPr="00C562D6">
        <w:rPr>
          <w:rFonts w:ascii="Times New Roman" w:hAnsi="Times New Roman" w:cs="Times New Roman"/>
          <w:bCs/>
          <w:color w:val="000000"/>
        </w:rPr>
        <w:t>.</w:t>
      </w:r>
    </w:p>
    <w:p w:rsidR="00780E5D" w:rsidRPr="00C562D6" w:rsidRDefault="000C317A" w:rsidP="00060A0D">
      <w:pPr>
        <w:spacing w:after="240" w:line="480" w:lineRule="auto"/>
        <w:jc w:val="both"/>
        <w:rPr>
          <w:rFonts w:ascii="Times New Roman" w:hAnsi="Times New Roman" w:cs="Times New Roman"/>
          <w:bCs/>
          <w:color w:val="000000"/>
          <w:lang w:val="en-GB"/>
        </w:rPr>
      </w:pPr>
      <w:r w:rsidRPr="00C562D6">
        <w:rPr>
          <w:rFonts w:ascii="Times New Roman" w:hAnsi="Times New Roman" w:cs="Times New Roman"/>
          <w:bCs/>
          <w:color w:val="000000"/>
          <w:lang w:val="en-GB"/>
        </w:rPr>
        <w:lastRenderedPageBreak/>
        <w:t>Among the housing supply initiatives the government has put in place in recent years are the Help to Buy (</w:t>
      </w:r>
      <w:proofErr w:type="spellStart"/>
      <w:r w:rsidRPr="00C562D6">
        <w:rPr>
          <w:rFonts w:ascii="Times New Roman" w:hAnsi="Times New Roman" w:cs="Times New Roman"/>
          <w:bCs/>
          <w:color w:val="000000"/>
          <w:lang w:val="en-GB"/>
        </w:rPr>
        <w:t>HtB</w:t>
      </w:r>
      <w:proofErr w:type="spellEnd"/>
      <w:r w:rsidRPr="00C562D6">
        <w:rPr>
          <w:rFonts w:ascii="Times New Roman" w:hAnsi="Times New Roman" w:cs="Times New Roman"/>
          <w:bCs/>
          <w:color w:val="000000"/>
          <w:lang w:val="en-GB"/>
        </w:rPr>
        <w:t>) equity loan scheme (£3.5 billion from April 2013 to April 2016), the Help to Buy mortgage guarantee scheme for the UK (up to £12 billion of guarantees to cover £130 billion of mortgage lending to January 2017), the Build to Rent fund (£1 billion) and other smaller schemes such as Growing Places (£0.5 billion) and Getting Britain Building (£0.6 billion)</w:t>
      </w:r>
      <w:r w:rsidR="00585270" w:rsidRPr="00C562D6">
        <w:rPr>
          <w:rFonts w:ascii="Times New Roman" w:hAnsi="Times New Roman" w:cs="Times New Roman"/>
          <w:bCs/>
          <w:color w:val="000000"/>
          <w:lang w:val="en-GB"/>
        </w:rPr>
        <w:t xml:space="preserve"> (Wilson, 2014)</w:t>
      </w:r>
      <w:r w:rsidRPr="00C562D6">
        <w:rPr>
          <w:rFonts w:ascii="Times New Roman" w:hAnsi="Times New Roman" w:cs="Times New Roman"/>
          <w:bCs/>
          <w:color w:val="000000"/>
          <w:lang w:val="en-GB"/>
        </w:rPr>
        <w:t xml:space="preserve">. </w:t>
      </w:r>
    </w:p>
    <w:p w:rsidR="000C317A" w:rsidRPr="00C562D6" w:rsidRDefault="00C60D70" w:rsidP="00060A0D">
      <w:pPr>
        <w:spacing w:after="240" w:line="480" w:lineRule="auto"/>
        <w:jc w:val="both"/>
        <w:rPr>
          <w:rFonts w:ascii="Times New Roman" w:hAnsi="Times New Roman" w:cs="Times New Roman"/>
          <w:bCs/>
          <w:color w:val="000000"/>
        </w:rPr>
      </w:pPr>
      <w:r w:rsidRPr="00C562D6">
        <w:rPr>
          <w:rFonts w:ascii="Times New Roman" w:hAnsi="Times New Roman" w:cs="Times New Roman"/>
          <w:bCs/>
          <w:lang w:val="en-GB"/>
        </w:rPr>
        <w:t>As outlined</w:t>
      </w:r>
      <w:r w:rsidRPr="00C562D6">
        <w:rPr>
          <w:rFonts w:ascii="Times New Roman" w:hAnsi="Times New Roman" w:cs="Times New Roman"/>
          <w:bCs/>
          <w:color w:val="000000"/>
          <w:lang w:val="en-GB"/>
        </w:rPr>
        <w:t xml:space="preserve"> </w:t>
      </w:r>
      <w:r w:rsidR="00340B85" w:rsidRPr="00C562D6">
        <w:rPr>
          <w:rFonts w:ascii="Times New Roman" w:hAnsi="Times New Roman" w:cs="Times New Roman"/>
          <w:bCs/>
          <w:color w:val="000000"/>
          <w:lang w:val="en-GB"/>
        </w:rPr>
        <w:t>above</w:t>
      </w:r>
      <w:r w:rsidRPr="00C562D6">
        <w:rPr>
          <w:rFonts w:ascii="Times New Roman" w:hAnsi="Times New Roman" w:cs="Times New Roman"/>
          <w:bCs/>
          <w:color w:val="000000"/>
          <w:lang w:val="en-GB"/>
        </w:rPr>
        <w:t xml:space="preserve"> these policies appear to be have stimulated (possibly overly so – although there is not a consensus on whether there is a new housing market bubble inflating)</w:t>
      </w:r>
      <w:r w:rsidRPr="00C562D6">
        <w:rPr>
          <w:rStyle w:val="FootnoteReference"/>
          <w:rFonts w:ascii="Times New Roman" w:hAnsi="Times New Roman" w:cs="Times New Roman"/>
          <w:bCs/>
          <w:color w:val="000000"/>
          <w:lang w:val="en-GB"/>
        </w:rPr>
        <w:footnoteReference w:id="6"/>
      </w:r>
      <w:r w:rsidR="00487FD9" w:rsidRPr="00C562D6">
        <w:rPr>
          <w:rFonts w:ascii="Times New Roman" w:hAnsi="Times New Roman" w:cs="Times New Roman"/>
          <w:bCs/>
          <w:color w:val="000000"/>
          <w:lang w:val="en-GB"/>
        </w:rPr>
        <w:t>.</w:t>
      </w:r>
      <w:r w:rsidRPr="00C562D6">
        <w:rPr>
          <w:rFonts w:ascii="Times New Roman" w:hAnsi="Times New Roman" w:cs="Times New Roman"/>
          <w:bCs/>
          <w:color w:val="000000"/>
          <w:lang w:val="en-GB"/>
        </w:rPr>
        <w:t xml:space="preserve"> </w:t>
      </w:r>
      <w:r w:rsidR="00487FD9" w:rsidRPr="00C562D6">
        <w:rPr>
          <w:rFonts w:ascii="Times New Roman" w:hAnsi="Times New Roman" w:cs="Times New Roman"/>
          <w:bCs/>
          <w:color w:val="000000"/>
          <w:lang w:val="en-GB"/>
        </w:rPr>
        <w:t>T</w:t>
      </w:r>
      <w:r w:rsidRPr="00C562D6">
        <w:rPr>
          <w:rFonts w:ascii="Times New Roman" w:hAnsi="Times New Roman" w:cs="Times New Roman"/>
          <w:bCs/>
          <w:color w:val="000000"/>
          <w:lang w:val="en-GB"/>
        </w:rPr>
        <w:t>he main beneficiaries of which have been first time</w:t>
      </w:r>
      <w:r w:rsidR="00487FD9" w:rsidRPr="00C562D6">
        <w:rPr>
          <w:rFonts w:ascii="Times New Roman" w:hAnsi="Times New Roman" w:cs="Times New Roman"/>
          <w:bCs/>
          <w:color w:val="000000"/>
          <w:lang w:val="en-GB"/>
        </w:rPr>
        <w:t xml:space="preserve"> buyers, while </w:t>
      </w:r>
      <w:r w:rsidR="00496AFE" w:rsidRPr="00C562D6">
        <w:rPr>
          <w:rFonts w:ascii="Times New Roman" w:hAnsi="Times New Roman" w:cs="Times New Roman"/>
          <w:bCs/>
          <w:color w:val="000000"/>
          <w:lang w:val="en-GB"/>
        </w:rPr>
        <w:t>‘</w:t>
      </w:r>
      <w:r w:rsidR="00487FD9" w:rsidRPr="00C562D6">
        <w:rPr>
          <w:rFonts w:ascii="Times New Roman" w:hAnsi="Times New Roman" w:cs="Times New Roman"/>
          <w:bCs/>
          <w:color w:val="000000"/>
          <w:lang w:val="en-GB"/>
        </w:rPr>
        <w:t>second steppers</w:t>
      </w:r>
      <w:r w:rsidR="00496AFE" w:rsidRPr="00C562D6">
        <w:rPr>
          <w:rFonts w:ascii="Times New Roman" w:hAnsi="Times New Roman" w:cs="Times New Roman"/>
          <w:bCs/>
          <w:color w:val="000000"/>
          <w:lang w:val="en-GB"/>
        </w:rPr>
        <w:t>’,</w:t>
      </w:r>
      <w:r w:rsidR="00487FD9" w:rsidRPr="00C562D6">
        <w:rPr>
          <w:rFonts w:ascii="Times New Roman" w:hAnsi="Times New Roman" w:cs="Times New Roman"/>
          <w:bCs/>
          <w:color w:val="000000"/>
          <w:lang w:val="en-GB"/>
        </w:rPr>
        <w:t xml:space="preserve"> whose housing transaction activity is needed for a liquid and therefore efficient housing market</w:t>
      </w:r>
      <w:r w:rsidR="00152A99" w:rsidRPr="00C562D6">
        <w:rPr>
          <w:rFonts w:ascii="Times New Roman" w:hAnsi="Times New Roman" w:cs="Times New Roman"/>
          <w:bCs/>
          <w:color w:val="000000"/>
          <w:lang w:val="en-GB"/>
        </w:rPr>
        <w:t>,</w:t>
      </w:r>
      <w:r w:rsidR="00487FD9" w:rsidRPr="00C562D6">
        <w:rPr>
          <w:rFonts w:ascii="Times New Roman" w:hAnsi="Times New Roman" w:cs="Times New Roman"/>
          <w:bCs/>
          <w:color w:val="000000"/>
          <w:lang w:val="en-GB"/>
        </w:rPr>
        <w:t xml:space="preserve"> remain less likely to move due to credit restraints and negative equity</w:t>
      </w:r>
      <w:r w:rsidR="00340B85" w:rsidRPr="00C562D6">
        <w:rPr>
          <w:rFonts w:ascii="Times New Roman" w:hAnsi="Times New Roman" w:cs="Times New Roman"/>
          <w:bCs/>
          <w:color w:val="000000"/>
          <w:lang w:val="en-GB"/>
        </w:rPr>
        <w:t xml:space="preserve"> (Wilcox and Perry, 2014a: 51)</w:t>
      </w:r>
      <w:r w:rsidR="007239DA" w:rsidRPr="00C562D6">
        <w:rPr>
          <w:rFonts w:ascii="Times New Roman" w:hAnsi="Times New Roman" w:cs="Times New Roman"/>
          <w:bCs/>
          <w:color w:val="000000"/>
          <w:lang w:val="en-GB"/>
        </w:rPr>
        <w:t>.</w:t>
      </w:r>
    </w:p>
    <w:p w:rsidR="00AF6A77" w:rsidRPr="00C562D6" w:rsidRDefault="007239DA" w:rsidP="00060A0D">
      <w:pPr>
        <w:spacing w:after="240" w:line="480" w:lineRule="auto"/>
        <w:jc w:val="both"/>
        <w:rPr>
          <w:rFonts w:ascii="Times New Roman" w:hAnsi="Times New Roman" w:cs="Times New Roman"/>
          <w:bCs/>
          <w:color w:val="000000"/>
        </w:rPr>
      </w:pPr>
      <w:r w:rsidRPr="00C562D6">
        <w:rPr>
          <w:rFonts w:ascii="Times New Roman" w:hAnsi="Times New Roman" w:cs="Times New Roman"/>
          <w:bCs/>
          <w:color w:val="000000"/>
        </w:rPr>
        <w:t xml:space="preserve">Given these </w:t>
      </w:r>
      <w:r w:rsidR="00340B85" w:rsidRPr="00C562D6">
        <w:rPr>
          <w:rFonts w:ascii="Times New Roman" w:hAnsi="Times New Roman" w:cs="Times New Roman"/>
          <w:bCs/>
          <w:color w:val="000000"/>
        </w:rPr>
        <w:t>factors</w:t>
      </w:r>
      <w:r w:rsidRPr="00C562D6">
        <w:rPr>
          <w:rFonts w:ascii="Times New Roman" w:hAnsi="Times New Roman" w:cs="Times New Roman"/>
          <w:bCs/>
          <w:color w:val="000000"/>
        </w:rPr>
        <w:t xml:space="preserve"> there has been an expansion of the private rented sector mainly financed through buy-to-let mortgages. In March 2011 there </w:t>
      </w:r>
      <w:r w:rsidR="00B1217D" w:rsidRPr="00C562D6">
        <w:rPr>
          <w:rFonts w:ascii="Times New Roman" w:hAnsi="Times New Roman" w:cs="Times New Roman"/>
          <w:bCs/>
          <w:color w:val="000000"/>
        </w:rPr>
        <w:t>were</w:t>
      </w:r>
      <w:r w:rsidRPr="00C562D6">
        <w:rPr>
          <w:rFonts w:ascii="Times New Roman" w:hAnsi="Times New Roman" w:cs="Times New Roman"/>
          <w:bCs/>
          <w:color w:val="000000"/>
        </w:rPr>
        <w:t xml:space="preserve"> 4.1 million households in this sector in England which is expected</w:t>
      </w:r>
      <w:r w:rsidR="00780E5D" w:rsidRPr="00C562D6">
        <w:rPr>
          <w:rFonts w:ascii="Times New Roman" w:hAnsi="Times New Roman" w:cs="Times New Roman"/>
          <w:bCs/>
          <w:color w:val="000000"/>
        </w:rPr>
        <w:t xml:space="preserve"> to increase</w:t>
      </w:r>
      <w:r w:rsidRPr="00C562D6">
        <w:rPr>
          <w:rFonts w:ascii="Times New Roman" w:hAnsi="Times New Roman" w:cs="Times New Roman"/>
          <w:bCs/>
          <w:color w:val="000000"/>
        </w:rPr>
        <w:t xml:space="preserve"> by a million up to 2020</w:t>
      </w:r>
      <w:r w:rsidR="00340B85" w:rsidRPr="00C562D6">
        <w:rPr>
          <w:rFonts w:ascii="Times New Roman" w:hAnsi="Times New Roman" w:cs="Times New Roman"/>
          <w:bCs/>
          <w:color w:val="000000"/>
        </w:rPr>
        <w:t xml:space="preserve"> (Wilcox and Perry, 2014a: Table 21)</w:t>
      </w:r>
      <w:r w:rsidR="00B1217D" w:rsidRPr="00C562D6">
        <w:rPr>
          <w:rFonts w:ascii="Times New Roman" w:hAnsi="Times New Roman" w:cs="Times New Roman"/>
          <w:bCs/>
          <w:color w:val="000000"/>
        </w:rPr>
        <w:t>.</w:t>
      </w:r>
    </w:p>
    <w:p w:rsidR="00D84A78" w:rsidRPr="00C562D6" w:rsidRDefault="00152A99" w:rsidP="00060A0D">
      <w:pPr>
        <w:spacing w:line="480" w:lineRule="auto"/>
        <w:jc w:val="both"/>
        <w:rPr>
          <w:rFonts w:ascii="Times New Roman" w:hAnsi="Times New Roman" w:cs="Times New Roman"/>
          <w:bCs/>
          <w:color w:val="000000"/>
        </w:rPr>
      </w:pPr>
      <w:r w:rsidRPr="00C562D6">
        <w:rPr>
          <w:rFonts w:ascii="Times New Roman" w:hAnsi="Times New Roman" w:cs="Times New Roman"/>
          <w:bCs/>
          <w:color w:val="000000"/>
        </w:rPr>
        <w:t>To summarise</w:t>
      </w:r>
      <w:r w:rsidR="00110A15" w:rsidRPr="00C562D6">
        <w:rPr>
          <w:rFonts w:ascii="Times New Roman" w:hAnsi="Times New Roman" w:cs="Times New Roman"/>
          <w:bCs/>
          <w:color w:val="000000"/>
        </w:rPr>
        <w:t>, the social housing sector has seen major changes and restructuring over the past three and a half decades</w:t>
      </w:r>
      <w:r w:rsidR="00340B85" w:rsidRPr="00C562D6">
        <w:rPr>
          <w:rFonts w:ascii="Times New Roman" w:hAnsi="Times New Roman" w:cs="Times New Roman"/>
          <w:bCs/>
          <w:color w:val="000000"/>
        </w:rPr>
        <w:t>,</w:t>
      </w:r>
      <w:r w:rsidR="00110A15" w:rsidRPr="00C562D6">
        <w:rPr>
          <w:rFonts w:ascii="Times New Roman" w:hAnsi="Times New Roman" w:cs="Times New Roman"/>
          <w:bCs/>
          <w:color w:val="000000"/>
        </w:rPr>
        <w:t xml:space="preserve"> </w:t>
      </w:r>
      <w:r w:rsidR="00340B85" w:rsidRPr="00C562D6">
        <w:rPr>
          <w:rFonts w:ascii="Times New Roman" w:hAnsi="Times New Roman" w:cs="Times New Roman"/>
          <w:bCs/>
          <w:color w:val="000000"/>
        </w:rPr>
        <w:t>t</w:t>
      </w:r>
      <w:r w:rsidR="00110A15" w:rsidRPr="00C562D6">
        <w:rPr>
          <w:rFonts w:ascii="Times New Roman" w:hAnsi="Times New Roman" w:cs="Times New Roman"/>
          <w:bCs/>
          <w:color w:val="000000"/>
        </w:rPr>
        <w:t xml:space="preserve">hrough the impact of the </w:t>
      </w:r>
      <w:r w:rsidR="00110A15" w:rsidRPr="00C562D6">
        <w:rPr>
          <w:rFonts w:ascii="Times New Roman" w:hAnsi="Times New Roman" w:cs="Times New Roman"/>
          <w:bCs/>
          <w:i/>
          <w:color w:val="000000"/>
        </w:rPr>
        <w:t xml:space="preserve">Right to </w:t>
      </w:r>
      <w:proofErr w:type="gramStart"/>
      <w:r w:rsidR="00110A15" w:rsidRPr="00C562D6">
        <w:rPr>
          <w:rFonts w:ascii="Times New Roman" w:hAnsi="Times New Roman" w:cs="Times New Roman"/>
          <w:bCs/>
          <w:i/>
          <w:color w:val="000000"/>
        </w:rPr>
        <w:t>Buy</w:t>
      </w:r>
      <w:proofErr w:type="gramEnd"/>
      <w:r w:rsidR="00110A15" w:rsidRPr="00C562D6">
        <w:rPr>
          <w:rFonts w:ascii="Times New Roman" w:hAnsi="Times New Roman" w:cs="Times New Roman"/>
          <w:bCs/>
          <w:color w:val="000000"/>
        </w:rPr>
        <w:t xml:space="preserve"> policy</w:t>
      </w:r>
      <w:r w:rsidR="00340B85" w:rsidRPr="00C562D6">
        <w:rPr>
          <w:rFonts w:ascii="Times New Roman" w:hAnsi="Times New Roman" w:cs="Times New Roman"/>
          <w:bCs/>
          <w:color w:val="000000"/>
        </w:rPr>
        <w:t>;</w:t>
      </w:r>
      <w:r w:rsidR="00110A15" w:rsidRPr="00C562D6">
        <w:rPr>
          <w:rFonts w:ascii="Times New Roman" w:hAnsi="Times New Roman" w:cs="Times New Roman"/>
          <w:bCs/>
          <w:color w:val="000000"/>
        </w:rPr>
        <w:t xml:space="preserve"> to the growth of the housing association sector</w:t>
      </w:r>
      <w:r w:rsidR="00921469" w:rsidRPr="00C562D6">
        <w:rPr>
          <w:rFonts w:ascii="Times New Roman" w:hAnsi="Times New Roman" w:cs="Times New Roman"/>
          <w:bCs/>
          <w:color w:val="000000"/>
        </w:rPr>
        <w:t>. Central to these processes has been the opening up of the sector to private finance. These processes remain the focus of government policy as is explored in the following two sections.</w:t>
      </w:r>
    </w:p>
    <w:p w:rsidR="00065203" w:rsidRPr="00C562D6" w:rsidRDefault="00C50A92" w:rsidP="00AA3D24">
      <w:pPr>
        <w:spacing w:before="240" w:line="480" w:lineRule="auto"/>
        <w:jc w:val="both"/>
        <w:rPr>
          <w:rFonts w:ascii="Times New Roman" w:hAnsi="Times New Roman" w:cs="Times New Roman"/>
          <w:i/>
          <w:szCs w:val="24"/>
        </w:rPr>
      </w:pPr>
      <w:r w:rsidRPr="00C562D6">
        <w:rPr>
          <w:rFonts w:ascii="Times New Roman" w:hAnsi="Times New Roman" w:cs="Times New Roman"/>
          <w:i/>
          <w:szCs w:val="24"/>
        </w:rPr>
        <w:t xml:space="preserve">4.2 </w:t>
      </w:r>
      <w:r w:rsidR="00065203" w:rsidRPr="00C562D6">
        <w:rPr>
          <w:rFonts w:ascii="Times New Roman" w:hAnsi="Times New Roman" w:cs="Times New Roman"/>
          <w:i/>
          <w:szCs w:val="24"/>
        </w:rPr>
        <w:t>Funding environment</w:t>
      </w:r>
    </w:p>
    <w:p w:rsidR="00763257" w:rsidRPr="00C562D6" w:rsidRDefault="00763257" w:rsidP="00060A0D">
      <w:pPr>
        <w:spacing w:after="240" w:line="480" w:lineRule="auto"/>
        <w:jc w:val="both"/>
        <w:rPr>
          <w:rFonts w:ascii="Times New Roman" w:hAnsi="Times New Roman" w:cs="Times New Roman"/>
          <w:bCs/>
          <w:color w:val="000000"/>
        </w:rPr>
      </w:pPr>
      <w:r w:rsidRPr="00C562D6">
        <w:rPr>
          <w:rFonts w:ascii="Times New Roman" w:hAnsi="Times New Roman" w:cs="Times New Roman"/>
          <w:bCs/>
          <w:color w:val="000000"/>
        </w:rPr>
        <w:lastRenderedPageBreak/>
        <w:t>Government spending, on social housing in England, fell from 3.7 per cent of government expenditure in 1985/86 to 1.8 per cent in 2004/05</w:t>
      </w:r>
      <w:r w:rsidR="00340B85" w:rsidRPr="00C562D6">
        <w:rPr>
          <w:rFonts w:ascii="Times New Roman" w:hAnsi="Times New Roman" w:cs="Times New Roman"/>
          <w:bCs/>
          <w:color w:val="000000"/>
        </w:rPr>
        <w:t xml:space="preserve"> (Wilcox, 2006: Table 56)</w:t>
      </w:r>
      <w:r w:rsidRPr="00C562D6">
        <w:rPr>
          <w:rFonts w:ascii="Times New Roman" w:hAnsi="Times New Roman" w:cs="Times New Roman"/>
          <w:bCs/>
          <w:color w:val="000000"/>
        </w:rPr>
        <w:t>, before starting to rise again to 2.7 per cent in 2008/09</w:t>
      </w:r>
      <w:r w:rsidR="00340B85" w:rsidRPr="00C562D6">
        <w:rPr>
          <w:rFonts w:ascii="Times New Roman" w:hAnsi="Times New Roman" w:cs="Times New Roman"/>
          <w:bCs/>
          <w:color w:val="000000"/>
        </w:rPr>
        <w:t xml:space="preserve"> (Pawson and Wilcox, 2011: Table 56)</w:t>
      </w:r>
      <w:r w:rsidRPr="00C562D6">
        <w:rPr>
          <w:rFonts w:ascii="Times New Roman" w:hAnsi="Times New Roman" w:cs="Times New Roman"/>
          <w:bCs/>
          <w:color w:val="000000"/>
        </w:rPr>
        <w:t xml:space="preserve">. Part of the reason for this rise is the treatment of capital receipts from the </w:t>
      </w:r>
      <w:r w:rsidRPr="00C562D6">
        <w:rPr>
          <w:rFonts w:ascii="Times New Roman" w:hAnsi="Times New Roman" w:cs="Times New Roman"/>
          <w:bCs/>
          <w:i/>
          <w:color w:val="000000"/>
        </w:rPr>
        <w:t xml:space="preserve">Right to </w:t>
      </w:r>
      <w:proofErr w:type="gramStart"/>
      <w:r w:rsidRPr="00C562D6">
        <w:rPr>
          <w:rFonts w:ascii="Times New Roman" w:hAnsi="Times New Roman" w:cs="Times New Roman"/>
          <w:bCs/>
          <w:i/>
          <w:color w:val="000000"/>
        </w:rPr>
        <w:t>Buy</w:t>
      </w:r>
      <w:proofErr w:type="gramEnd"/>
      <w:r w:rsidRPr="00C562D6">
        <w:rPr>
          <w:rFonts w:ascii="Times New Roman" w:hAnsi="Times New Roman" w:cs="Times New Roman"/>
          <w:bCs/>
          <w:color w:val="000000"/>
        </w:rPr>
        <w:t xml:space="preserve"> policy which are seen as negative expenditure; with their dramatic reduction since 2003, the identifiable expenditure</w:t>
      </w:r>
      <w:r w:rsidRPr="00C562D6">
        <w:rPr>
          <w:rFonts w:ascii="Times New Roman" w:hAnsi="Times New Roman" w:cs="Times New Roman"/>
          <w:bCs/>
          <w:color w:val="000000"/>
          <w:vertAlign w:val="superscript"/>
        </w:rPr>
        <w:footnoteReference w:id="7"/>
      </w:r>
      <w:r w:rsidRPr="00C562D6">
        <w:rPr>
          <w:rFonts w:ascii="Times New Roman" w:hAnsi="Times New Roman" w:cs="Times New Roman"/>
          <w:bCs/>
          <w:color w:val="000000"/>
        </w:rPr>
        <w:t xml:space="preserve"> on housing has increased. The continued reduction in investment in social housing can be seen in the Gross investment in Social Housing figures in England, which fell from £13.1 billion in 1979/80 to £7.8 billion in 2009/10</w:t>
      </w:r>
      <w:r w:rsidRPr="00C562D6">
        <w:rPr>
          <w:rFonts w:ascii="Times New Roman" w:hAnsi="Times New Roman" w:cs="Times New Roman"/>
          <w:bCs/>
          <w:color w:val="000000"/>
          <w:vertAlign w:val="superscript"/>
        </w:rPr>
        <w:footnoteReference w:id="8"/>
      </w:r>
      <w:r w:rsidRPr="00C562D6">
        <w:rPr>
          <w:rFonts w:ascii="Times New Roman" w:hAnsi="Times New Roman" w:cs="Times New Roman"/>
          <w:bCs/>
          <w:color w:val="000000"/>
        </w:rPr>
        <w:t>.</w:t>
      </w:r>
    </w:p>
    <w:p w:rsidR="00597C10" w:rsidRPr="00C562D6" w:rsidRDefault="00597C10" w:rsidP="00060A0D">
      <w:pPr>
        <w:spacing w:after="240" w:line="480" w:lineRule="auto"/>
        <w:jc w:val="both"/>
        <w:rPr>
          <w:rFonts w:ascii="Times New Roman" w:hAnsi="Times New Roman" w:cs="Times New Roman"/>
          <w:bCs/>
          <w:color w:val="000000"/>
        </w:rPr>
      </w:pPr>
      <w:r w:rsidRPr="00C562D6">
        <w:rPr>
          <w:rFonts w:ascii="Times New Roman" w:hAnsi="Times New Roman" w:cs="Times New Roman"/>
          <w:bCs/>
          <w:color w:val="000000"/>
        </w:rPr>
        <w:t>However, these figures can be misleading as the subsidy for housing has been shifted ‘through a new system of housing support that masqueraded as social security’</w:t>
      </w:r>
      <w:r w:rsidR="00570884" w:rsidRPr="00C562D6">
        <w:rPr>
          <w:rFonts w:ascii="Times New Roman" w:hAnsi="Times New Roman" w:cs="Times New Roman"/>
          <w:bCs/>
          <w:color w:val="000000"/>
        </w:rPr>
        <w:t xml:space="preserve"> (</w:t>
      </w:r>
      <w:proofErr w:type="spellStart"/>
      <w:r w:rsidR="00570884" w:rsidRPr="00C562D6">
        <w:rPr>
          <w:rFonts w:ascii="Times New Roman" w:hAnsi="Times New Roman" w:cs="Times New Roman"/>
          <w:bCs/>
          <w:color w:val="000000"/>
        </w:rPr>
        <w:t>Murie</w:t>
      </w:r>
      <w:proofErr w:type="spellEnd"/>
      <w:r w:rsidR="00570884" w:rsidRPr="00C562D6">
        <w:rPr>
          <w:rFonts w:ascii="Times New Roman" w:hAnsi="Times New Roman" w:cs="Times New Roman"/>
          <w:bCs/>
          <w:color w:val="000000"/>
        </w:rPr>
        <w:t>, 2012: 1033)</w:t>
      </w:r>
      <w:r w:rsidR="008A7FCB" w:rsidRPr="00C562D6">
        <w:rPr>
          <w:rFonts w:ascii="Times New Roman" w:hAnsi="Times New Roman" w:cs="Times New Roman"/>
          <w:bCs/>
          <w:color w:val="000000"/>
        </w:rPr>
        <w:t xml:space="preserve">. </w:t>
      </w:r>
      <w:r w:rsidR="00DC30A5" w:rsidRPr="00C562D6">
        <w:rPr>
          <w:rFonts w:ascii="Times New Roman" w:hAnsi="Times New Roman" w:cs="Times New Roman"/>
          <w:bCs/>
          <w:color w:val="000000"/>
        </w:rPr>
        <w:t>There has been an increase in the number of recipients of state help to cover rents (either in the form of Rent Rebate or Rent Allowance) from 3.3 million in 1988 to nearly 4.2 million in 2011</w:t>
      </w:r>
      <w:r w:rsidR="00570884" w:rsidRPr="00C562D6">
        <w:rPr>
          <w:rFonts w:ascii="Times New Roman" w:hAnsi="Times New Roman" w:cs="Times New Roman"/>
          <w:bCs/>
          <w:color w:val="000000"/>
        </w:rPr>
        <w:t xml:space="preserve"> (Pawson and Wilcox, 2014a: Table 115a)</w:t>
      </w:r>
      <w:r w:rsidR="00DC30A5" w:rsidRPr="00C562D6">
        <w:rPr>
          <w:rFonts w:ascii="Times New Roman" w:hAnsi="Times New Roman" w:cs="Times New Roman"/>
          <w:bCs/>
          <w:color w:val="000000"/>
        </w:rPr>
        <w:t xml:space="preserve">. </w:t>
      </w:r>
      <w:proofErr w:type="spellStart"/>
      <w:r w:rsidR="00DC30A5" w:rsidRPr="00C562D6">
        <w:rPr>
          <w:rFonts w:ascii="Times New Roman" w:hAnsi="Times New Roman" w:cs="Times New Roman"/>
          <w:bCs/>
          <w:color w:val="000000"/>
        </w:rPr>
        <w:t>Murie</w:t>
      </w:r>
      <w:proofErr w:type="spellEnd"/>
      <w:r w:rsidR="00570884" w:rsidRPr="00C562D6">
        <w:rPr>
          <w:rFonts w:ascii="Times New Roman" w:hAnsi="Times New Roman" w:cs="Times New Roman"/>
          <w:bCs/>
          <w:color w:val="000000"/>
        </w:rPr>
        <w:t xml:space="preserve"> (2012: 1034)</w:t>
      </w:r>
      <w:r w:rsidR="00DC30A5" w:rsidRPr="00C562D6">
        <w:rPr>
          <w:rFonts w:ascii="Times New Roman" w:hAnsi="Times New Roman" w:cs="Times New Roman"/>
          <w:bCs/>
          <w:color w:val="000000"/>
        </w:rPr>
        <w:t xml:space="preserve"> reports that the corresponding increase in cost is £9.5 billion in the twenty years to 2007.</w:t>
      </w:r>
    </w:p>
    <w:p w:rsidR="00D4191A" w:rsidRPr="00C562D6" w:rsidRDefault="00D4191A" w:rsidP="00060A0D">
      <w:pPr>
        <w:spacing w:after="240" w:line="480" w:lineRule="auto"/>
        <w:jc w:val="both"/>
        <w:rPr>
          <w:rFonts w:ascii="Times New Roman" w:hAnsi="Times New Roman" w:cs="Times New Roman"/>
          <w:bCs/>
          <w:color w:val="000000"/>
        </w:rPr>
      </w:pPr>
      <w:r w:rsidRPr="00C562D6">
        <w:rPr>
          <w:rFonts w:ascii="Times New Roman" w:hAnsi="Times New Roman" w:cs="Times New Roman"/>
          <w:bCs/>
          <w:color w:val="000000"/>
        </w:rPr>
        <w:t xml:space="preserve">To summarise, </w:t>
      </w:r>
      <w:r w:rsidR="000F1210" w:rsidRPr="00C562D6">
        <w:rPr>
          <w:rFonts w:ascii="Times New Roman" w:hAnsi="Times New Roman" w:cs="Times New Roman"/>
          <w:bCs/>
          <w:color w:val="000000"/>
        </w:rPr>
        <w:t xml:space="preserve">there has been a twofold process working in the funding context </w:t>
      </w:r>
      <w:r w:rsidR="00372B2C" w:rsidRPr="00C562D6">
        <w:rPr>
          <w:rFonts w:ascii="Times New Roman" w:hAnsi="Times New Roman" w:cs="Times New Roman"/>
          <w:bCs/>
          <w:color w:val="000000"/>
        </w:rPr>
        <w:t xml:space="preserve">for </w:t>
      </w:r>
      <w:r w:rsidR="000F1210" w:rsidRPr="00C562D6">
        <w:rPr>
          <w:rFonts w:ascii="Times New Roman" w:hAnsi="Times New Roman" w:cs="Times New Roman"/>
          <w:bCs/>
          <w:color w:val="000000"/>
        </w:rPr>
        <w:t>social housing. First is a simple reduction in funding levels over a long and sustained period. The last few years of the previous Labour government saw this decline being arrested</w:t>
      </w:r>
      <w:r w:rsidR="00372B2C" w:rsidRPr="00C562D6">
        <w:rPr>
          <w:rFonts w:ascii="Times New Roman" w:hAnsi="Times New Roman" w:cs="Times New Roman"/>
          <w:bCs/>
          <w:color w:val="000000"/>
        </w:rPr>
        <w:t>,</w:t>
      </w:r>
      <w:r w:rsidR="000F1210" w:rsidRPr="00C562D6">
        <w:rPr>
          <w:rFonts w:ascii="Times New Roman" w:hAnsi="Times New Roman" w:cs="Times New Roman"/>
          <w:bCs/>
          <w:color w:val="000000"/>
        </w:rPr>
        <w:t xml:space="preserve"> however the Coalition government’s austerity agenda has housing funding under pressure again. Second as public funding has been withdrawn there has been a greater reliance on private finance in different forms and through housing associations as the main conduit into the sector. These processes are evident in the recent government interventions as explore in the next section.</w:t>
      </w:r>
    </w:p>
    <w:p w:rsidR="00065203" w:rsidRPr="00C562D6" w:rsidRDefault="00D75EFF" w:rsidP="009F75C8">
      <w:pPr>
        <w:pStyle w:val="ListParagraph"/>
        <w:numPr>
          <w:ilvl w:val="0"/>
          <w:numId w:val="8"/>
        </w:numPr>
        <w:spacing w:line="480" w:lineRule="auto"/>
        <w:jc w:val="both"/>
        <w:rPr>
          <w:rFonts w:ascii="Times New Roman" w:hAnsi="Times New Roman" w:cs="Times New Roman"/>
          <w:b/>
          <w:szCs w:val="24"/>
        </w:rPr>
      </w:pPr>
      <w:r w:rsidRPr="00C562D6">
        <w:rPr>
          <w:rFonts w:ascii="Times New Roman" w:hAnsi="Times New Roman" w:cs="Times New Roman"/>
          <w:b/>
          <w:szCs w:val="24"/>
        </w:rPr>
        <w:lastRenderedPageBreak/>
        <w:t xml:space="preserve">Social housing policy </w:t>
      </w:r>
      <w:r w:rsidR="00F928DA" w:rsidRPr="00C562D6">
        <w:rPr>
          <w:rFonts w:ascii="Times New Roman" w:hAnsi="Times New Roman" w:cs="Times New Roman"/>
          <w:b/>
          <w:szCs w:val="24"/>
        </w:rPr>
        <w:t>review</w:t>
      </w:r>
    </w:p>
    <w:p w:rsidR="00763257" w:rsidRPr="00C562D6" w:rsidRDefault="00DC30A5" w:rsidP="00060A0D">
      <w:pPr>
        <w:spacing w:after="240" w:line="480" w:lineRule="auto"/>
        <w:jc w:val="both"/>
        <w:rPr>
          <w:rFonts w:ascii="Times New Roman" w:hAnsi="Times New Roman" w:cs="Times New Roman"/>
          <w:bCs/>
          <w:color w:val="000000"/>
        </w:rPr>
      </w:pPr>
      <w:proofErr w:type="spellStart"/>
      <w:r w:rsidRPr="00C562D6">
        <w:rPr>
          <w:rFonts w:ascii="Times New Roman" w:hAnsi="Times New Roman" w:cs="Times New Roman"/>
          <w:bCs/>
          <w:color w:val="000000"/>
        </w:rPr>
        <w:t>Murie</w:t>
      </w:r>
      <w:proofErr w:type="spellEnd"/>
      <w:r w:rsidRPr="00C562D6">
        <w:rPr>
          <w:rFonts w:ascii="Times New Roman" w:hAnsi="Times New Roman" w:cs="Times New Roman"/>
          <w:bCs/>
          <w:color w:val="000000"/>
        </w:rPr>
        <w:t xml:space="preserve"> points out that despite the presentation of the UK as possessing a weak welfare state with housing as it</w:t>
      </w:r>
      <w:r w:rsidR="00BA4F2E" w:rsidRPr="00C562D6">
        <w:rPr>
          <w:rFonts w:ascii="Times New Roman" w:hAnsi="Times New Roman" w:cs="Times New Roman"/>
          <w:bCs/>
          <w:color w:val="000000"/>
        </w:rPr>
        <w:t>s</w:t>
      </w:r>
      <w:r w:rsidRPr="00C562D6">
        <w:rPr>
          <w:rFonts w:ascii="Times New Roman" w:hAnsi="Times New Roman" w:cs="Times New Roman"/>
          <w:bCs/>
          <w:color w:val="000000"/>
        </w:rPr>
        <w:t xml:space="preserve"> “wo</w:t>
      </w:r>
      <w:r w:rsidR="00BA4F2E" w:rsidRPr="00C562D6">
        <w:rPr>
          <w:rFonts w:ascii="Times New Roman" w:hAnsi="Times New Roman" w:cs="Times New Roman"/>
          <w:bCs/>
          <w:color w:val="000000"/>
        </w:rPr>
        <w:t>b</w:t>
      </w:r>
      <w:r w:rsidRPr="00C562D6">
        <w:rPr>
          <w:rFonts w:ascii="Times New Roman" w:hAnsi="Times New Roman" w:cs="Times New Roman"/>
          <w:bCs/>
          <w:color w:val="000000"/>
        </w:rPr>
        <w:t>bly</w:t>
      </w:r>
      <w:r w:rsidR="00BA4F2E" w:rsidRPr="00C562D6">
        <w:rPr>
          <w:rFonts w:ascii="Times New Roman" w:hAnsi="Times New Roman" w:cs="Times New Roman"/>
          <w:bCs/>
          <w:color w:val="000000"/>
        </w:rPr>
        <w:t xml:space="preserve"> pillar” there is a long legacy of government intervention in the housing market</w:t>
      </w:r>
      <w:r w:rsidR="00F1418C" w:rsidRPr="00C562D6">
        <w:rPr>
          <w:rFonts w:ascii="Times New Roman" w:hAnsi="Times New Roman" w:cs="Times New Roman"/>
          <w:bCs/>
          <w:color w:val="000000"/>
        </w:rPr>
        <w:t xml:space="preserve"> (</w:t>
      </w:r>
      <w:proofErr w:type="spellStart"/>
      <w:r w:rsidR="00F1418C" w:rsidRPr="00C562D6">
        <w:rPr>
          <w:rFonts w:ascii="Times New Roman" w:hAnsi="Times New Roman" w:cs="Times New Roman"/>
          <w:bCs/>
          <w:color w:val="000000"/>
        </w:rPr>
        <w:t>Murie</w:t>
      </w:r>
      <w:proofErr w:type="spellEnd"/>
      <w:r w:rsidR="00F1418C" w:rsidRPr="00C562D6">
        <w:rPr>
          <w:rFonts w:ascii="Times New Roman" w:hAnsi="Times New Roman" w:cs="Times New Roman"/>
          <w:bCs/>
          <w:color w:val="000000"/>
        </w:rPr>
        <w:t>, 2012)</w:t>
      </w:r>
      <w:r w:rsidR="00BA4F2E" w:rsidRPr="00C562D6">
        <w:rPr>
          <w:rFonts w:ascii="Times New Roman" w:hAnsi="Times New Roman" w:cs="Times New Roman"/>
          <w:bCs/>
          <w:color w:val="000000"/>
        </w:rPr>
        <w:t>. As alluded to above this has continued in recent years even if its form has changed from one of supporting direct provision</w:t>
      </w:r>
      <w:r w:rsidR="000F1077" w:rsidRPr="00C562D6">
        <w:rPr>
          <w:rFonts w:ascii="Times New Roman" w:hAnsi="Times New Roman" w:cs="Times New Roman"/>
          <w:bCs/>
          <w:color w:val="000000"/>
        </w:rPr>
        <w:t>,</w:t>
      </w:r>
      <w:r w:rsidR="00F1418C" w:rsidRPr="00C562D6">
        <w:rPr>
          <w:rFonts w:ascii="Times New Roman" w:hAnsi="Times New Roman" w:cs="Times New Roman"/>
          <w:bCs/>
          <w:color w:val="000000"/>
        </w:rPr>
        <w:t xml:space="preserve"> through privatiz</w:t>
      </w:r>
      <w:r w:rsidR="00BA4F2E" w:rsidRPr="00C562D6">
        <w:rPr>
          <w:rFonts w:ascii="Times New Roman" w:hAnsi="Times New Roman" w:cs="Times New Roman"/>
          <w:bCs/>
          <w:color w:val="000000"/>
        </w:rPr>
        <w:t>ation interventions (such as the right to buy and large-scale voluntary transfer policies) to the current policies of market making and seeking increased private finance.</w:t>
      </w:r>
    </w:p>
    <w:p w:rsidR="00763257" w:rsidRPr="00C562D6" w:rsidRDefault="00ED216D" w:rsidP="00060A0D">
      <w:pPr>
        <w:spacing w:after="240" w:line="480" w:lineRule="auto"/>
        <w:jc w:val="both"/>
        <w:rPr>
          <w:rFonts w:ascii="Times New Roman" w:hAnsi="Times New Roman" w:cs="Times New Roman"/>
          <w:bCs/>
          <w:color w:val="000000"/>
        </w:rPr>
      </w:pPr>
      <w:r w:rsidRPr="00C562D6">
        <w:rPr>
          <w:rFonts w:ascii="Times New Roman" w:hAnsi="Times New Roman" w:cs="Times New Roman"/>
          <w:bCs/>
          <w:color w:val="000000"/>
        </w:rPr>
        <w:t xml:space="preserve">During the 1990s the government pursued the </w:t>
      </w:r>
      <w:r w:rsidR="00763257" w:rsidRPr="00C562D6">
        <w:rPr>
          <w:rFonts w:ascii="Times New Roman" w:hAnsi="Times New Roman" w:cs="Times New Roman"/>
          <w:bCs/>
          <w:color w:val="000000"/>
        </w:rPr>
        <w:t>Appro</w:t>
      </w:r>
      <w:r w:rsidRPr="00C562D6">
        <w:rPr>
          <w:rFonts w:ascii="Times New Roman" w:hAnsi="Times New Roman" w:cs="Times New Roman"/>
          <w:bCs/>
          <w:color w:val="000000"/>
        </w:rPr>
        <w:t xml:space="preserve">ved </w:t>
      </w:r>
      <w:r w:rsidR="000F1077" w:rsidRPr="00C562D6">
        <w:rPr>
          <w:rFonts w:ascii="Times New Roman" w:hAnsi="Times New Roman" w:cs="Times New Roman"/>
          <w:bCs/>
          <w:color w:val="000000"/>
        </w:rPr>
        <w:t>D</w:t>
      </w:r>
      <w:r w:rsidRPr="00C562D6">
        <w:rPr>
          <w:rFonts w:ascii="Times New Roman" w:hAnsi="Times New Roman" w:cs="Times New Roman"/>
          <w:bCs/>
          <w:color w:val="000000"/>
        </w:rPr>
        <w:t xml:space="preserve">evelopment </w:t>
      </w:r>
      <w:r w:rsidR="000F1077" w:rsidRPr="00C562D6">
        <w:rPr>
          <w:rFonts w:ascii="Times New Roman" w:hAnsi="Times New Roman" w:cs="Times New Roman"/>
          <w:bCs/>
          <w:color w:val="000000"/>
        </w:rPr>
        <w:t>P</w:t>
      </w:r>
      <w:r w:rsidRPr="00C562D6">
        <w:rPr>
          <w:rFonts w:ascii="Times New Roman" w:hAnsi="Times New Roman" w:cs="Times New Roman"/>
          <w:bCs/>
          <w:color w:val="000000"/>
        </w:rPr>
        <w:t>rogramme (ADP), where</w:t>
      </w:r>
      <w:r w:rsidR="00763257" w:rsidRPr="00C562D6">
        <w:rPr>
          <w:rFonts w:ascii="Times New Roman" w:hAnsi="Times New Roman" w:cs="Times New Roman"/>
          <w:bCs/>
          <w:color w:val="000000"/>
        </w:rPr>
        <w:t xml:space="preserve"> eligible </w:t>
      </w:r>
      <w:r w:rsidRPr="00C562D6">
        <w:rPr>
          <w:rFonts w:ascii="Times New Roman" w:hAnsi="Times New Roman" w:cs="Times New Roman"/>
          <w:bCs/>
          <w:color w:val="000000"/>
        </w:rPr>
        <w:t>housing associations in England</w:t>
      </w:r>
      <w:r w:rsidR="00763257" w:rsidRPr="00C562D6">
        <w:rPr>
          <w:rFonts w:ascii="Times New Roman" w:hAnsi="Times New Roman" w:cs="Times New Roman"/>
          <w:bCs/>
          <w:color w:val="000000"/>
        </w:rPr>
        <w:t xml:space="preserve"> </w:t>
      </w:r>
      <w:r w:rsidR="000F1077" w:rsidRPr="00C562D6">
        <w:rPr>
          <w:rFonts w:ascii="Times New Roman" w:hAnsi="Times New Roman" w:cs="Times New Roman"/>
          <w:bCs/>
          <w:color w:val="000000"/>
        </w:rPr>
        <w:t>were able to access</w:t>
      </w:r>
      <w:r w:rsidR="00763257" w:rsidRPr="00C562D6">
        <w:rPr>
          <w:rFonts w:ascii="Times New Roman" w:hAnsi="Times New Roman" w:cs="Times New Roman"/>
          <w:bCs/>
          <w:color w:val="000000"/>
        </w:rPr>
        <w:t xml:space="preserve"> </w:t>
      </w:r>
      <w:r w:rsidRPr="00C562D6">
        <w:rPr>
          <w:rFonts w:ascii="Times New Roman" w:hAnsi="Times New Roman" w:cs="Times New Roman"/>
          <w:bCs/>
          <w:color w:val="000000"/>
        </w:rPr>
        <w:t xml:space="preserve">the </w:t>
      </w:r>
      <w:r w:rsidR="00763257" w:rsidRPr="00C562D6">
        <w:rPr>
          <w:rFonts w:ascii="Times New Roman" w:hAnsi="Times New Roman" w:cs="Times New Roman"/>
          <w:bCs/>
          <w:color w:val="000000"/>
        </w:rPr>
        <w:t xml:space="preserve">Social Housing Grant </w:t>
      </w:r>
      <w:r w:rsidRPr="00C562D6">
        <w:rPr>
          <w:rFonts w:ascii="Times New Roman" w:hAnsi="Times New Roman" w:cs="Times New Roman"/>
          <w:bCs/>
          <w:color w:val="000000"/>
        </w:rPr>
        <w:t xml:space="preserve">(SHG) </w:t>
      </w:r>
      <w:r w:rsidR="00763257" w:rsidRPr="00C562D6">
        <w:rPr>
          <w:rFonts w:ascii="Times New Roman" w:hAnsi="Times New Roman" w:cs="Times New Roman"/>
          <w:bCs/>
          <w:color w:val="000000"/>
        </w:rPr>
        <w:t>on a ‘mixed funding’ basis</w:t>
      </w:r>
      <w:r w:rsidR="00F1418C" w:rsidRPr="00C562D6">
        <w:rPr>
          <w:rFonts w:ascii="Times New Roman" w:hAnsi="Times New Roman" w:cs="Times New Roman"/>
          <w:bCs/>
          <w:color w:val="000000"/>
        </w:rPr>
        <w:t xml:space="preserve"> (Gibb et al., 1999: 109)</w:t>
      </w:r>
      <w:r w:rsidRPr="00C562D6">
        <w:rPr>
          <w:rFonts w:ascii="Times New Roman" w:hAnsi="Times New Roman" w:cs="Times New Roman"/>
          <w:bCs/>
          <w:color w:val="000000"/>
        </w:rPr>
        <w:t>. The programme required housing associations to b</w:t>
      </w:r>
      <w:r w:rsidR="00763257" w:rsidRPr="00C562D6">
        <w:rPr>
          <w:rFonts w:ascii="Times New Roman" w:hAnsi="Times New Roman" w:cs="Times New Roman"/>
          <w:bCs/>
          <w:color w:val="000000"/>
        </w:rPr>
        <w:t>id on a competitive basis against</w:t>
      </w:r>
      <w:r w:rsidR="008B262A" w:rsidRPr="00C562D6">
        <w:rPr>
          <w:rFonts w:ascii="Times New Roman" w:hAnsi="Times New Roman" w:cs="Times New Roman"/>
          <w:bCs/>
          <w:color w:val="000000"/>
        </w:rPr>
        <w:t xml:space="preserve"> a</w:t>
      </w:r>
      <w:r w:rsidR="00763257" w:rsidRPr="00C562D6">
        <w:rPr>
          <w:rFonts w:ascii="Times New Roman" w:hAnsi="Times New Roman" w:cs="Times New Roman"/>
          <w:bCs/>
          <w:color w:val="000000"/>
        </w:rPr>
        <w:t xml:space="preserve"> published target subsidy rate</w:t>
      </w:r>
      <w:r w:rsidR="00F928DA" w:rsidRPr="00C562D6">
        <w:rPr>
          <w:rFonts w:ascii="Times New Roman" w:hAnsi="Times New Roman" w:cs="Times New Roman"/>
          <w:bCs/>
          <w:color w:val="000000"/>
        </w:rPr>
        <w:t xml:space="preserve">. The SHG was </w:t>
      </w:r>
      <w:r w:rsidRPr="00C562D6">
        <w:rPr>
          <w:rFonts w:ascii="Times New Roman" w:hAnsi="Times New Roman" w:cs="Times New Roman"/>
          <w:bCs/>
          <w:color w:val="000000"/>
        </w:rPr>
        <w:t>supplement</w:t>
      </w:r>
      <w:r w:rsidR="00F928DA" w:rsidRPr="00C562D6">
        <w:rPr>
          <w:rFonts w:ascii="Times New Roman" w:hAnsi="Times New Roman" w:cs="Times New Roman"/>
          <w:bCs/>
          <w:color w:val="000000"/>
        </w:rPr>
        <w:t>ed</w:t>
      </w:r>
      <w:r w:rsidRPr="00C562D6">
        <w:rPr>
          <w:rFonts w:ascii="Times New Roman" w:hAnsi="Times New Roman" w:cs="Times New Roman"/>
          <w:bCs/>
          <w:color w:val="000000"/>
        </w:rPr>
        <w:t xml:space="preserve"> with private finance through</w:t>
      </w:r>
      <w:r w:rsidR="00763257" w:rsidRPr="00C562D6">
        <w:rPr>
          <w:rFonts w:ascii="Times New Roman" w:hAnsi="Times New Roman" w:cs="Times New Roman"/>
          <w:bCs/>
          <w:color w:val="000000"/>
        </w:rPr>
        <w:t xml:space="preserve"> access to </w:t>
      </w:r>
      <w:r w:rsidR="008B262A" w:rsidRPr="00C562D6">
        <w:rPr>
          <w:rFonts w:ascii="Times New Roman" w:hAnsi="Times New Roman" w:cs="Times New Roman"/>
          <w:bCs/>
          <w:i/>
          <w:color w:val="000000"/>
        </w:rPr>
        <w:t>T</w:t>
      </w:r>
      <w:r w:rsidR="00763257" w:rsidRPr="00C562D6">
        <w:rPr>
          <w:rFonts w:ascii="Times New Roman" w:hAnsi="Times New Roman" w:cs="Times New Roman"/>
          <w:bCs/>
          <w:i/>
          <w:color w:val="000000"/>
        </w:rPr>
        <w:t>he H</w:t>
      </w:r>
      <w:r w:rsidRPr="00C562D6">
        <w:rPr>
          <w:rFonts w:ascii="Times New Roman" w:hAnsi="Times New Roman" w:cs="Times New Roman"/>
          <w:bCs/>
          <w:i/>
          <w:color w:val="000000"/>
        </w:rPr>
        <w:t xml:space="preserve">ousing </w:t>
      </w:r>
      <w:r w:rsidR="00763257" w:rsidRPr="00C562D6">
        <w:rPr>
          <w:rFonts w:ascii="Times New Roman" w:hAnsi="Times New Roman" w:cs="Times New Roman"/>
          <w:bCs/>
          <w:i/>
          <w:color w:val="000000"/>
        </w:rPr>
        <w:t>F</w:t>
      </w:r>
      <w:r w:rsidRPr="00C562D6">
        <w:rPr>
          <w:rFonts w:ascii="Times New Roman" w:hAnsi="Times New Roman" w:cs="Times New Roman"/>
          <w:bCs/>
          <w:i/>
          <w:color w:val="000000"/>
        </w:rPr>
        <w:t xml:space="preserve">inance </w:t>
      </w:r>
      <w:r w:rsidR="00763257" w:rsidRPr="00C562D6">
        <w:rPr>
          <w:rFonts w:ascii="Times New Roman" w:hAnsi="Times New Roman" w:cs="Times New Roman"/>
          <w:bCs/>
          <w:i/>
          <w:color w:val="000000"/>
        </w:rPr>
        <w:t>C</w:t>
      </w:r>
      <w:r w:rsidRPr="00C562D6">
        <w:rPr>
          <w:rFonts w:ascii="Times New Roman" w:hAnsi="Times New Roman" w:cs="Times New Roman"/>
          <w:bCs/>
          <w:i/>
          <w:color w:val="000000"/>
        </w:rPr>
        <w:t>orporation</w:t>
      </w:r>
      <w:r w:rsidR="008B262A" w:rsidRPr="00C562D6">
        <w:rPr>
          <w:rFonts w:ascii="Times New Roman" w:hAnsi="Times New Roman" w:cs="Times New Roman"/>
          <w:bCs/>
          <w:color w:val="000000"/>
        </w:rPr>
        <w:t xml:space="preserve"> (THFC)</w:t>
      </w:r>
      <w:r w:rsidR="00763257" w:rsidRPr="00C562D6">
        <w:rPr>
          <w:rFonts w:ascii="Times New Roman" w:hAnsi="Times New Roman" w:cs="Times New Roman"/>
          <w:bCs/>
          <w:color w:val="000000"/>
        </w:rPr>
        <w:t xml:space="preserve"> and</w:t>
      </w:r>
      <w:r w:rsidRPr="00C562D6">
        <w:rPr>
          <w:rFonts w:ascii="Times New Roman" w:hAnsi="Times New Roman" w:cs="Times New Roman"/>
          <w:bCs/>
          <w:color w:val="000000"/>
        </w:rPr>
        <w:t>/or</w:t>
      </w:r>
      <w:r w:rsidR="00763257" w:rsidRPr="00C562D6">
        <w:rPr>
          <w:rFonts w:ascii="Times New Roman" w:hAnsi="Times New Roman" w:cs="Times New Roman"/>
          <w:bCs/>
          <w:color w:val="000000"/>
        </w:rPr>
        <w:t xml:space="preserve"> borrow</w:t>
      </w:r>
      <w:r w:rsidRPr="00C562D6">
        <w:rPr>
          <w:rFonts w:ascii="Times New Roman" w:hAnsi="Times New Roman" w:cs="Times New Roman"/>
          <w:bCs/>
          <w:color w:val="000000"/>
        </w:rPr>
        <w:t>ing</w:t>
      </w:r>
      <w:r w:rsidR="00763257" w:rsidRPr="00C562D6">
        <w:rPr>
          <w:rFonts w:ascii="Times New Roman" w:hAnsi="Times New Roman" w:cs="Times New Roman"/>
          <w:bCs/>
          <w:color w:val="000000"/>
        </w:rPr>
        <w:t xml:space="preserve"> direct from private</w:t>
      </w:r>
      <w:r w:rsidRPr="00C562D6">
        <w:rPr>
          <w:rFonts w:ascii="Times New Roman" w:hAnsi="Times New Roman" w:cs="Times New Roman"/>
          <w:bCs/>
          <w:color w:val="000000"/>
        </w:rPr>
        <w:t xml:space="preserve"> sector. S</w:t>
      </w:r>
      <w:r w:rsidR="00763257" w:rsidRPr="00C562D6">
        <w:rPr>
          <w:rFonts w:ascii="Times New Roman" w:hAnsi="Times New Roman" w:cs="Times New Roman"/>
          <w:bCs/>
          <w:color w:val="000000"/>
        </w:rPr>
        <w:t xml:space="preserve">mall </w:t>
      </w:r>
      <w:r w:rsidRPr="00C562D6">
        <w:rPr>
          <w:rFonts w:ascii="Times New Roman" w:hAnsi="Times New Roman" w:cs="Times New Roman"/>
          <w:bCs/>
          <w:color w:val="000000"/>
        </w:rPr>
        <w:t>housing association</w:t>
      </w:r>
      <w:r w:rsidR="00763257" w:rsidRPr="00C562D6">
        <w:rPr>
          <w:rFonts w:ascii="Times New Roman" w:hAnsi="Times New Roman" w:cs="Times New Roman"/>
          <w:bCs/>
          <w:color w:val="000000"/>
        </w:rPr>
        <w:t xml:space="preserve">s </w:t>
      </w:r>
      <w:r w:rsidRPr="00C562D6">
        <w:rPr>
          <w:rFonts w:ascii="Times New Roman" w:hAnsi="Times New Roman" w:cs="Times New Roman"/>
          <w:bCs/>
          <w:color w:val="000000"/>
        </w:rPr>
        <w:t>could</w:t>
      </w:r>
      <w:r w:rsidR="00763257" w:rsidRPr="00C562D6">
        <w:rPr>
          <w:rFonts w:ascii="Times New Roman" w:hAnsi="Times New Roman" w:cs="Times New Roman"/>
          <w:bCs/>
          <w:color w:val="000000"/>
        </w:rPr>
        <w:t xml:space="preserve"> bid for 100 per cent SHG if they </w:t>
      </w:r>
      <w:r w:rsidR="008B262A" w:rsidRPr="00C562D6">
        <w:rPr>
          <w:rFonts w:ascii="Times New Roman" w:hAnsi="Times New Roman" w:cs="Times New Roman"/>
          <w:bCs/>
          <w:color w:val="000000"/>
        </w:rPr>
        <w:t>could not</w:t>
      </w:r>
      <w:r w:rsidR="00763257" w:rsidRPr="00C562D6">
        <w:rPr>
          <w:rFonts w:ascii="Times New Roman" w:hAnsi="Times New Roman" w:cs="Times New Roman"/>
          <w:bCs/>
          <w:color w:val="000000"/>
        </w:rPr>
        <w:t xml:space="preserve"> secure private finance</w:t>
      </w:r>
      <w:r w:rsidRPr="00C562D6">
        <w:rPr>
          <w:rFonts w:ascii="Times New Roman" w:hAnsi="Times New Roman" w:cs="Times New Roman"/>
          <w:bCs/>
          <w:color w:val="000000"/>
        </w:rPr>
        <w:t>. For most developing housing associations the a</w:t>
      </w:r>
      <w:r w:rsidR="00763257" w:rsidRPr="00C562D6">
        <w:rPr>
          <w:rFonts w:ascii="Times New Roman" w:hAnsi="Times New Roman" w:cs="Times New Roman"/>
          <w:bCs/>
          <w:color w:val="000000"/>
        </w:rPr>
        <w:t xml:space="preserve">verage SHG </w:t>
      </w:r>
      <w:r w:rsidRPr="00C562D6">
        <w:rPr>
          <w:rFonts w:ascii="Times New Roman" w:hAnsi="Times New Roman" w:cs="Times New Roman"/>
          <w:bCs/>
          <w:color w:val="000000"/>
        </w:rPr>
        <w:t>percentage</w:t>
      </w:r>
      <w:r w:rsidR="00763257" w:rsidRPr="00C562D6">
        <w:rPr>
          <w:rFonts w:ascii="Times New Roman" w:hAnsi="Times New Roman" w:cs="Times New Roman"/>
          <w:bCs/>
          <w:color w:val="000000"/>
        </w:rPr>
        <w:t xml:space="preserve"> declined during the 1990s from 75</w:t>
      </w:r>
      <w:r w:rsidRPr="00C562D6">
        <w:rPr>
          <w:rFonts w:ascii="Times New Roman" w:hAnsi="Times New Roman" w:cs="Times New Roman"/>
          <w:bCs/>
          <w:color w:val="000000"/>
        </w:rPr>
        <w:t xml:space="preserve"> percentage</w:t>
      </w:r>
      <w:r w:rsidR="00763257" w:rsidRPr="00C562D6">
        <w:rPr>
          <w:rFonts w:ascii="Times New Roman" w:hAnsi="Times New Roman" w:cs="Times New Roman"/>
          <w:bCs/>
          <w:color w:val="000000"/>
        </w:rPr>
        <w:t xml:space="preserve"> in 1990/91 to 56</w:t>
      </w:r>
      <w:r w:rsidRPr="00C562D6">
        <w:rPr>
          <w:rFonts w:ascii="Times New Roman" w:hAnsi="Times New Roman" w:cs="Times New Roman"/>
          <w:bCs/>
          <w:color w:val="000000"/>
        </w:rPr>
        <w:t xml:space="preserve"> percentage</w:t>
      </w:r>
      <w:r w:rsidR="00763257" w:rsidRPr="00C562D6">
        <w:rPr>
          <w:rFonts w:ascii="Times New Roman" w:hAnsi="Times New Roman" w:cs="Times New Roman"/>
          <w:bCs/>
          <w:color w:val="000000"/>
        </w:rPr>
        <w:t xml:space="preserve"> in 1997/98</w:t>
      </w:r>
      <w:r w:rsidR="00F1418C" w:rsidRPr="00C562D6">
        <w:rPr>
          <w:rFonts w:ascii="Times New Roman" w:hAnsi="Times New Roman" w:cs="Times New Roman"/>
          <w:bCs/>
          <w:color w:val="000000"/>
        </w:rPr>
        <w:t xml:space="preserve"> (Gibb et al., 1999: 109)</w:t>
      </w:r>
      <w:r w:rsidR="00763257" w:rsidRPr="00C562D6">
        <w:rPr>
          <w:rFonts w:ascii="Times New Roman" w:hAnsi="Times New Roman" w:cs="Times New Roman"/>
          <w:bCs/>
          <w:color w:val="000000"/>
        </w:rPr>
        <w:t>.</w:t>
      </w:r>
    </w:p>
    <w:p w:rsidR="008B262A" w:rsidRPr="00C562D6" w:rsidRDefault="008B262A" w:rsidP="00060A0D">
      <w:pPr>
        <w:spacing w:after="240" w:line="480" w:lineRule="auto"/>
        <w:jc w:val="both"/>
        <w:rPr>
          <w:rFonts w:ascii="Times New Roman" w:hAnsi="Times New Roman" w:cs="Times New Roman"/>
          <w:bCs/>
          <w:color w:val="000000"/>
        </w:rPr>
      </w:pPr>
      <w:r w:rsidRPr="00C562D6">
        <w:rPr>
          <w:rFonts w:ascii="Times New Roman" w:hAnsi="Times New Roman" w:cs="Times New Roman"/>
          <w:bCs/>
          <w:color w:val="000000"/>
        </w:rPr>
        <w:t>The New Labour governments from 1997 onwards prioriti</w:t>
      </w:r>
      <w:r w:rsidR="00492ADA" w:rsidRPr="00C562D6">
        <w:rPr>
          <w:rFonts w:ascii="Times New Roman" w:hAnsi="Times New Roman" w:cs="Times New Roman"/>
          <w:bCs/>
          <w:color w:val="000000"/>
        </w:rPr>
        <w:t>z</w:t>
      </w:r>
      <w:r w:rsidRPr="00C562D6">
        <w:rPr>
          <w:rFonts w:ascii="Times New Roman" w:hAnsi="Times New Roman" w:cs="Times New Roman"/>
          <w:bCs/>
          <w:color w:val="000000"/>
        </w:rPr>
        <w:t xml:space="preserve">ed improving the condition of the existing housing stock, mainly in the social housing sector, through the </w:t>
      </w:r>
      <w:r w:rsidRPr="00C562D6">
        <w:rPr>
          <w:rFonts w:ascii="Times New Roman" w:hAnsi="Times New Roman" w:cs="Times New Roman"/>
          <w:bCs/>
          <w:i/>
          <w:color w:val="000000"/>
        </w:rPr>
        <w:t>Decent Homes</w:t>
      </w:r>
      <w:r w:rsidRPr="00C562D6">
        <w:rPr>
          <w:rFonts w:ascii="Times New Roman" w:hAnsi="Times New Roman" w:cs="Times New Roman"/>
          <w:bCs/>
          <w:color w:val="000000"/>
        </w:rPr>
        <w:t xml:space="preserve"> programme</w:t>
      </w:r>
      <w:r w:rsidR="00F928DA" w:rsidRPr="00C562D6">
        <w:rPr>
          <w:rFonts w:ascii="Times New Roman" w:hAnsi="Times New Roman" w:cs="Times New Roman"/>
          <w:bCs/>
          <w:color w:val="000000"/>
        </w:rPr>
        <w:t xml:space="preserve"> </w:t>
      </w:r>
      <w:r w:rsidR="00F928DA" w:rsidRPr="00C562D6">
        <w:rPr>
          <w:rFonts w:ascii="Times New Roman" w:hAnsi="Times New Roman" w:cs="Times New Roman"/>
        </w:rPr>
        <w:t>(DETR, 2000)</w:t>
      </w:r>
      <w:r w:rsidRPr="00C562D6">
        <w:rPr>
          <w:rFonts w:ascii="Times New Roman" w:hAnsi="Times New Roman" w:cs="Times New Roman"/>
          <w:bCs/>
          <w:color w:val="000000"/>
        </w:rPr>
        <w:t>. It was only in later years that the emphasis of government policy changed to developing new social rented housing through the National Affordable Housing Programme, first launched in 2006 with the main round of bids during 2008/11.</w:t>
      </w:r>
    </w:p>
    <w:p w:rsidR="00763257" w:rsidRPr="00C562D6" w:rsidRDefault="009F75C8" w:rsidP="00060A0D">
      <w:pPr>
        <w:spacing w:line="480" w:lineRule="auto"/>
        <w:jc w:val="both"/>
        <w:rPr>
          <w:rFonts w:ascii="Times New Roman" w:hAnsi="Times New Roman" w:cs="Times New Roman"/>
          <w:i/>
          <w:szCs w:val="24"/>
        </w:rPr>
      </w:pPr>
      <w:r w:rsidRPr="00C562D6">
        <w:rPr>
          <w:rFonts w:ascii="Times New Roman" w:hAnsi="Times New Roman" w:cs="Times New Roman"/>
          <w:i/>
          <w:szCs w:val="24"/>
        </w:rPr>
        <w:t xml:space="preserve">5.1 </w:t>
      </w:r>
      <w:r w:rsidR="00404664" w:rsidRPr="00C562D6">
        <w:rPr>
          <w:rFonts w:ascii="Times New Roman" w:hAnsi="Times New Roman" w:cs="Times New Roman"/>
          <w:i/>
          <w:szCs w:val="24"/>
        </w:rPr>
        <w:t xml:space="preserve">The National Affordable Housing Programme </w:t>
      </w:r>
      <w:r w:rsidR="00F85496" w:rsidRPr="00C562D6">
        <w:rPr>
          <w:rFonts w:ascii="Times New Roman" w:hAnsi="Times New Roman" w:cs="Times New Roman"/>
          <w:i/>
          <w:szCs w:val="24"/>
        </w:rPr>
        <w:t xml:space="preserve">(NAHP) </w:t>
      </w:r>
      <w:r w:rsidR="00404664" w:rsidRPr="00C562D6">
        <w:rPr>
          <w:rFonts w:ascii="Times New Roman" w:hAnsi="Times New Roman" w:cs="Times New Roman"/>
          <w:i/>
          <w:szCs w:val="24"/>
        </w:rPr>
        <w:t>2008 – 11</w:t>
      </w:r>
    </w:p>
    <w:p w:rsidR="00057847" w:rsidRPr="00C562D6" w:rsidRDefault="00404664" w:rsidP="00C4253A">
      <w:pPr>
        <w:spacing w:after="240" w:line="480" w:lineRule="auto"/>
        <w:jc w:val="both"/>
        <w:rPr>
          <w:rFonts w:ascii="Times New Roman" w:hAnsi="Times New Roman" w:cs="Times New Roman"/>
          <w:szCs w:val="24"/>
        </w:rPr>
      </w:pPr>
      <w:r w:rsidRPr="00C562D6">
        <w:rPr>
          <w:rFonts w:ascii="Times New Roman" w:hAnsi="Times New Roman" w:cs="Times New Roman"/>
          <w:szCs w:val="24"/>
        </w:rPr>
        <w:t xml:space="preserve">The NAHP was the flagship policy of the previous Labour government focussed on addressing the shortage in affordable and social housing in England. The programme was </w:t>
      </w:r>
      <w:r w:rsidRPr="00C562D6">
        <w:rPr>
          <w:rFonts w:ascii="Times New Roman" w:hAnsi="Times New Roman" w:cs="Times New Roman"/>
          <w:szCs w:val="24"/>
        </w:rPr>
        <w:lastRenderedPageBreak/>
        <w:t>delivered through the Housing Corporation and subsequently the Homes and Communities Agency.</w:t>
      </w:r>
      <w:r w:rsidR="00EA1777" w:rsidRPr="00C562D6">
        <w:rPr>
          <w:rFonts w:ascii="Times New Roman" w:hAnsi="Times New Roman" w:cs="Times New Roman"/>
          <w:szCs w:val="24"/>
        </w:rPr>
        <w:t xml:space="preserve"> The Social Housing Grant remained at the centre of this programme. The bidding and assessment process was complicated, involving two central elements. First was the calculation of the Grant Index (GI) score. The GI is a measure of the value which will be obtained for the public subsidy sought. Its calculations include an adjustment for the time of delivery (with early delivery </w:t>
      </w:r>
      <w:r w:rsidR="00057847" w:rsidRPr="00C562D6">
        <w:rPr>
          <w:rFonts w:ascii="Times New Roman" w:hAnsi="Times New Roman" w:cs="Times New Roman"/>
          <w:szCs w:val="24"/>
        </w:rPr>
        <w:t>encouraged</w:t>
      </w:r>
      <w:r w:rsidR="00EA1777" w:rsidRPr="00C562D6">
        <w:rPr>
          <w:rFonts w:ascii="Times New Roman" w:hAnsi="Times New Roman" w:cs="Times New Roman"/>
          <w:szCs w:val="24"/>
        </w:rPr>
        <w:t>);</w:t>
      </w:r>
      <w:r w:rsidR="00057847" w:rsidRPr="00C562D6">
        <w:rPr>
          <w:rFonts w:ascii="Times New Roman" w:hAnsi="Times New Roman" w:cs="Times New Roman"/>
          <w:szCs w:val="24"/>
        </w:rPr>
        <w:t xml:space="preserve"> an adjustment</w:t>
      </w:r>
      <w:r w:rsidR="00EA1777" w:rsidRPr="00C562D6">
        <w:rPr>
          <w:rFonts w:ascii="Times New Roman" w:hAnsi="Times New Roman" w:cs="Times New Roman"/>
          <w:szCs w:val="24"/>
        </w:rPr>
        <w:t xml:space="preserve"> to equalise the different tenure mixes on different projects; and</w:t>
      </w:r>
      <w:r w:rsidR="00057847" w:rsidRPr="00C562D6">
        <w:rPr>
          <w:rFonts w:ascii="Times New Roman" w:hAnsi="Times New Roman" w:cs="Times New Roman"/>
          <w:szCs w:val="24"/>
        </w:rPr>
        <w:t xml:space="preserve"> it </w:t>
      </w:r>
      <w:r w:rsidR="00492ADA" w:rsidRPr="00C562D6">
        <w:rPr>
          <w:rFonts w:ascii="Times New Roman" w:hAnsi="Times New Roman" w:cs="Times New Roman"/>
          <w:szCs w:val="24"/>
        </w:rPr>
        <w:t>was</w:t>
      </w:r>
      <w:r w:rsidR="00057847" w:rsidRPr="00C562D6">
        <w:rPr>
          <w:rFonts w:ascii="Times New Roman" w:hAnsi="Times New Roman" w:cs="Times New Roman"/>
          <w:szCs w:val="24"/>
        </w:rPr>
        <w:t xml:space="preserve"> </w:t>
      </w:r>
      <w:r w:rsidR="00EA1777" w:rsidRPr="00C562D6">
        <w:rPr>
          <w:rFonts w:ascii="Times New Roman" w:hAnsi="Times New Roman" w:cs="Times New Roman"/>
          <w:szCs w:val="24"/>
        </w:rPr>
        <w:t xml:space="preserve">calculated </w:t>
      </w:r>
      <w:r w:rsidR="00A538DB" w:rsidRPr="00C562D6">
        <w:rPr>
          <w:rFonts w:ascii="Times New Roman" w:hAnsi="Times New Roman" w:cs="Times New Roman"/>
          <w:szCs w:val="24"/>
        </w:rPr>
        <w:t xml:space="preserve">on </w:t>
      </w:r>
      <w:proofErr w:type="gramStart"/>
      <w:r w:rsidR="00A538DB" w:rsidRPr="00C562D6">
        <w:rPr>
          <w:rFonts w:ascii="Times New Roman" w:hAnsi="Times New Roman" w:cs="Times New Roman"/>
          <w:szCs w:val="24"/>
        </w:rPr>
        <w:t xml:space="preserve">a </w:t>
      </w:r>
      <w:r w:rsidR="00EA1777" w:rsidRPr="00C562D6">
        <w:rPr>
          <w:rFonts w:ascii="Times New Roman" w:hAnsi="Times New Roman" w:cs="Times New Roman"/>
          <w:szCs w:val="24"/>
        </w:rPr>
        <w:t>per</w:t>
      </w:r>
      <w:proofErr w:type="gramEnd"/>
      <w:r w:rsidR="00EA1777" w:rsidRPr="00C562D6">
        <w:rPr>
          <w:rFonts w:ascii="Times New Roman" w:hAnsi="Times New Roman" w:cs="Times New Roman"/>
          <w:szCs w:val="24"/>
        </w:rPr>
        <w:t xml:space="preserve"> unit and per person housed</w:t>
      </w:r>
      <w:r w:rsidR="00A538DB" w:rsidRPr="00C562D6">
        <w:rPr>
          <w:rFonts w:ascii="Times New Roman" w:hAnsi="Times New Roman" w:cs="Times New Roman"/>
          <w:szCs w:val="24"/>
        </w:rPr>
        <w:t xml:space="preserve"> basis</w:t>
      </w:r>
      <w:r w:rsidR="00EA1777" w:rsidRPr="00C562D6">
        <w:rPr>
          <w:rFonts w:ascii="Times New Roman" w:hAnsi="Times New Roman" w:cs="Times New Roman"/>
          <w:szCs w:val="24"/>
        </w:rPr>
        <w:t xml:space="preserve"> to ensure </w:t>
      </w:r>
      <w:r w:rsidR="00057847" w:rsidRPr="00C562D6">
        <w:rPr>
          <w:rFonts w:ascii="Times New Roman" w:hAnsi="Times New Roman" w:cs="Times New Roman"/>
          <w:szCs w:val="24"/>
        </w:rPr>
        <w:t xml:space="preserve">that bids for larger homes were not </w:t>
      </w:r>
      <w:r w:rsidR="00EA1777" w:rsidRPr="00C562D6">
        <w:rPr>
          <w:rFonts w:ascii="Times New Roman" w:hAnsi="Times New Roman" w:cs="Times New Roman"/>
          <w:szCs w:val="24"/>
        </w:rPr>
        <w:t>disadvantag</w:t>
      </w:r>
      <w:r w:rsidR="00057847" w:rsidRPr="00C562D6">
        <w:rPr>
          <w:rFonts w:ascii="Times New Roman" w:hAnsi="Times New Roman" w:cs="Times New Roman"/>
          <w:szCs w:val="24"/>
        </w:rPr>
        <w:t>ed</w:t>
      </w:r>
      <w:r w:rsidR="00F85496" w:rsidRPr="00C562D6">
        <w:rPr>
          <w:rFonts w:ascii="Times New Roman" w:hAnsi="Times New Roman" w:cs="Times New Roman"/>
          <w:szCs w:val="24"/>
        </w:rPr>
        <w:t xml:space="preserve"> (Housing Corporation, 2007a: 53)</w:t>
      </w:r>
      <w:r w:rsidR="00057847" w:rsidRPr="00C562D6">
        <w:rPr>
          <w:rFonts w:ascii="Times New Roman" w:hAnsi="Times New Roman" w:cs="Times New Roman"/>
          <w:szCs w:val="24"/>
        </w:rPr>
        <w:t>.</w:t>
      </w:r>
    </w:p>
    <w:p w:rsidR="00A6731C" w:rsidRPr="00C562D6" w:rsidRDefault="00A6731C" w:rsidP="00060A0D">
      <w:pPr>
        <w:spacing w:after="240" w:line="480" w:lineRule="auto"/>
        <w:jc w:val="both"/>
        <w:rPr>
          <w:rFonts w:ascii="Times New Roman" w:hAnsi="Times New Roman" w:cs="Times New Roman"/>
          <w:szCs w:val="24"/>
        </w:rPr>
      </w:pPr>
      <w:r w:rsidRPr="00C562D6">
        <w:rPr>
          <w:rFonts w:ascii="Times New Roman" w:hAnsi="Times New Roman" w:cs="Times New Roman"/>
          <w:szCs w:val="24"/>
        </w:rPr>
        <w:t>The second element concerned compliance with the design and quality standards set by the Housing Corporation for access to the SHG</w:t>
      </w:r>
      <w:r w:rsidR="00C4253A" w:rsidRPr="00C562D6">
        <w:rPr>
          <w:rFonts w:ascii="Times New Roman" w:hAnsi="Times New Roman" w:cs="Times New Roman"/>
          <w:szCs w:val="24"/>
        </w:rPr>
        <w:t xml:space="preserve"> (Housing Corporation, 2007b: 2)</w:t>
      </w:r>
      <w:r w:rsidR="008544E3" w:rsidRPr="00C562D6">
        <w:rPr>
          <w:rFonts w:ascii="Times New Roman" w:hAnsi="Times New Roman" w:cs="Times New Roman"/>
          <w:szCs w:val="24"/>
        </w:rPr>
        <w:t xml:space="preserve">. These standards were embedded in a system, the </w:t>
      </w:r>
      <w:r w:rsidR="008544E3" w:rsidRPr="00C562D6">
        <w:rPr>
          <w:rFonts w:ascii="Times New Roman" w:hAnsi="Times New Roman" w:cs="Times New Roman"/>
          <w:i/>
          <w:szCs w:val="24"/>
        </w:rPr>
        <w:t>Housing Quality Indicators</w:t>
      </w:r>
      <w:r w:rsidR="008544E3" w:rsidRPr="00C562D6">
        <w:rPr>
          <w:rFonts w:ascii="Times New Roman" w:hAnsi="Times New Roman" w:cs="Times New Roman"/>
          <w:szCs w:val="24"/>
        </w:rPr>
        <w:t xml:space="preserve"> (HQI). The bids must meet or exceed the HQI standards as set out the NAHP prospectus</w:t>
      </w:r>
      <w:r w:rsidR="00BF7DB6" w:rsidRPr="00C562D6">
        <w:rPr>
          <w:rStyle w:val="FootnoteReference"/>
          <w:rFonts w:ascii="Times New Roman" w:hAnsi="Times New Roman" w:cs="Times New Roman"/>
          <w:szCs w:val="24"/>
        </w:rPr>
        <w:footnoteReference w:id="9"/>
      </w:r>
      <w:r w:rsidR="008544E3" w:rsidRPr="00C562D6">
        <w:rPr>
          <w:rFonts w:ascii="Times New Roman" w:hAnsi="Times New Roman" w:cs="Times New Roman"/>
          <w:szCs w:val="24"/>
        </w:rPr>
        <w:t xml:space="preserve">. Further the GI score also includes </w:t>
      </w:r>
      <w:r w:rsidR="00BF7DB6" w:rsidRPr="00C562D6">
        <w:rPr>
          <w:rFonts w:ascii="Times New Roman" w:hAnsi="Times New Roman" w:cs="Times New Roman"/>
          <w:szCs w:val="24"/>
        </w:rPr>
        <w:t>an adjustment for the HQI whereby the public subsidy can be increased or reduced by 15 per cent</w:t>
      </w:r>
      <w:r w:rsidR="00492ADA" w:rsidRPr="00C562D6">
        <w:rPr>
          <w:rFonts w:ascii="Times New Roman" w:hAnsi="Times New Roman" w:cs="Times New Roman"/>
          <w:szCs w:val="24"/>
        </w:rPr>
        <w:t xml:space="preserve"> Housing Corporation, 2007a: 56)</w:t>
      </w:r>
      <w:r w:rsidR="00BF7DB6" w:rsidRPr="00C562D6">
        <w:rPr>
          <w:rFonts w:ascii="Times New Roman" w:hAnsi="Times New Roman" w:cs="Times New Roman"/>
          <w:szCs w:val="24"/>
        </w:rPr>
        <w:t>.</w:t>
      </w:r>
    </w:p>
    <w:p w:rsidR="00BF7DB6" w:rsidRPr="00C562D6" w:rsidRDefault="00BF7DB6" w:rsidP="00060A0D">
      <w:pPr>
        <w:spacing w:after="240" w:line="480" w:lineRule="auto"/>
        <w:jc w:val="both"/>
        <w:rPr>
          <w:rFonts w:ascii="Times New Roman" w:hAnsi="Times New Roman" w:cs="Times New Roman"/>
          <w:szCs w:val="24"/>
        </w:rPr>
      </w:pPr>
      <w:r w:rsidRPr="00C562D6">
        <w:rPr>
          <w:rFonts w:ascii="Times New Roman" w:hAnsi="Times New Roman" w:cs="Times New Roman"/>
          <w:szCs w:val="24"/>
        </w:rPr>
        <w:t>The NAHP was delivered on the basis of a scheme by scheme assessment using the above calculations. Bidders had a range of products</w:t>
      </w:r>
      <w:r w:rsidR="009E0C58" w:rsidRPr="00C562D6">
        <w:rPr>
          <w:rFonts w:ascii="Times New Roman" w:hAnsi="Times New Roman" w:cs="Times New Roman"/>
          <w:szCs w:val="24"/>
        </w:rPr>
        <w:t xml:space="preserve"> available to them under this scheme; the main ones were social rented homes, temporary social housing and products under various </w:t>
      </w:r>
      <w:proofErr w:type="spellStart"/>
      <w:r w:rsidR="007D6FDE" w:rsidRPr="00C562D6">
        <w:rPr>
          <w:rFonts w:ascii="Times New Roman" w:hAnsi="Times New Roman" w:cs="Times New Roman"/>
          <w:szCs w:val="24"/>
        </w:rPr>
        <w:t>HomeBuy</w:t>
      </w:r>
      <w:proofErr w:type="spellEnd"/>
      <w:r w:rsidR="007D6FDE" w:rsidRPr="00C562D6">
        <w:rPr>
          <w:rFonts w:ascii="Times New Roman" w:hAnsi="Times New Roman" w:cs="Times New Roman"/>
          <w:szCs w:val="24"/>
        </w:rPr>
        <w:t xml:space="preserve"> schemes. The programme also identified the role of intermediate rents in financing the schemes and the importance of developing</w:t>
      </w:r>
      <w:r w:rsidR="007B3BF0" w:rsidRPr="00C562D6">
        <w:rPr>
          <w:rFonts w:ascii="Times New Roman" w:hAnsi="Times New Roman" w:cs="Times New Roman"/>
          <w:szCs w:val="24"/>
        </w:rPr>
        <w:t xml:space="preserve"> homes</w:t>
      </w:r>
      <w:r w:rsidR="007D6FDE" w:rsidRPr="00C562D6">
        <w:rPr>
          <w:rFonts w:ascii="Times New Roman" w:hAnsi="Times New Roman" w:cs="Times New Roman"/>
          <w:szCs w:val="24"/>
        </w:rPr>
        <w:t xml:space="preserve"> for Key Workers.</w:t>
      </w:r>
    </w:p>
    <w:p w:rsidR="00DA25CF" w:rsidRPr="00C562D6" w:rsidRDefault="00F55DE3" w:rsidP="00060A0D">
      <w:pPr>
        <w:spacing w:after="240" w:line="480" w:lineRule="auto"/>
        <w:jc w:val="both"/>
        <w:rPr>
          <w:rFonts w:ascii="Times New Roman" w:hAnsi="Times New Roman" w:cs="Times New Roman"/>
          <w:szCs w:val="24"/>
          <w:lang w:val="en-GB"/>
        </w:rPr>
      </w:pPr>
      <w:r w:rsidRPr="00C562D6">
        <w:rPr>
          <w:rFonts w:ascii="Times New Roman" w:hAnsi="Times New Roman" w:cs="Times New Roman"/>
          <w:szCs w:val="24"/>
        </w:rPr>
        <w:t>An overall assessment of this programme is difficult to undertake at the moment despite its nominal completion in 2011. This is because</w:t>
      </w:r>
      <w:r w:rsidR="00DA25CF" w:rsidRPr="00C562D6">
        <w:rPr>
          <w:rFonts w:ascii="Times New Roman" w:hAnsi="Times New Roman" w:cs="Times New Roman"/>
          <w:szCs w:val="24"/>
        </w:rPr>
        <w:t>,</w:t>
      </w:r>
      <w:r w:rsidRPr="00C562D6">
        <w:rPr>
          <w:rFonts w:ascii="Times New Roman" w:hAnsi="Times New Roman" w:cs="Times New Roman"/>
          <w:szCs w:val="24"/>
        </w:rPr>
        <w:t xml:space="preserve"> as the National Audit Office estimated</w:t>
      </w:r>
      <w:r w:rsidR="00DA25CF" w:rsidRPr="00C562D6">
        <w:rPr>
          <w:rFonts w:ascii="Times New Roman" w:hAnsi="Times New Roman" w:cs="Times New Roman"/>
          <w:szCs w:val="24"/>
        </w:rPr>
        <w:t xml:space="preserve"> in 2012, ‘</w:t>
      </w:r>
      <w:r w:rsidR="00DA25CF" w:rsidRPr="00C562D6">
        <w:rPr>
          <w:rFonts w:ascii="Times New Roman" w:hAnsi="Times New Roman" w:cs="Times New Roman"/>
          <w:szCs w:val="24"/>
          <w:lang w:val="en-GB"/>
        </w:rPr>
        <w:t xml:space="preserve">the total remaining spend under the NAHP over the period 2011/12 – 2014/15 will </w:t>
      </w:r>
      <w:r w:rsidR="00DA25CF" w:rsidRPr="00C562D6">
        <w:rPr>
          <w:rFonts w:ascii="Times New Roman" w:hAnsi="Times New Roman" w:cs="Times New Roman"/>
          <w:szCs w:val="24"/>
          <w:lang w:val="en-GB"/>
        </w:rPr>
        <w:lastRenderedPageBreak/>
        <w:t>considerably exceed the AHP’s total spend (£2.88 billion compared with £1.8 billion for the AHP)’</w:t>
      </w:r>
      <w:r w:rsidR="00EB225B" w:rsidRPr="00C562D6">
        <w:rPr>
          <w:rFonts w:ascii="Times New Roman" w:hAnsi="Times New Roman" w:cs="Times New Roman"/>
          <w:szCs w:val="24"/>
          <w:lang w:val="en-GB"/>
        </w:rPr>
        <w:t xml:space="preserve"> (Wilcox and Perry, 2014: 57)</w:t>
      </w:r>
      <w:r w:rsidR="00DA25CF" w:rsidRPr="00C562D6">
        <w:rPr>
          <w:rFonts w:ascii="Times New Roman" w:hAnsi="Times New Roman" w:cs="Times New Roman"/>
          <w:szCs w:val="24"/>
          <w:lang w:val="en-GB"/>
        </w:rPr>
        <w:t>.</w:t>
      </w:r>
    </w:p>
    <w:p w:rsidR="003010AD" w:rsidRPr="00C562D6" w:rsidRDefault="009F75C8" w:rsidP="00060A0D">
      <w:pPr>
        <w:spacing w:line="480" w:lineRule="auto"/>
        <w:jc w:val="both"/>
        <w:rPr>
          <w:rFonts w:ascii="Times New Roman" w:hAnsi="Times New Roman" w:cs="Times New Roman"/>
          <w:i/>
          <w:szCs w:val="24"/>
        </w:rPr>
      </w:pPr>
      <w:r w:rsidRPr="00C562D6">
        <w:rPr>
          <w:rFonts w:ascii="Times New Roman" w:hAnsi="Times New Roman" w:cs="Times New Roman"/>
          <w:i/>
          <w:szCs w:val="24"/>
        </w:rPr>
        <w:t xml:space="preserve">5.2 </w:t>
      </w:r>
      <w:r w:rsidR="003010AD" w:rsidRPr="00C562D6">
        <w:rPr>
          <w:rFonts w:ascii="Times New Roman" w:hAnsi="Times New Roman" w:cs="Times New Roman"/>
          <w:i/>
          <w:szCs w:val="24"/>
        </w:rPr>
        <w:t>The</w:t>
      </w:r>
      <w:r w:rsidRPr="00C562D6">
        <w:rPr>
          <w:rFonts w:ascii="Times New Roman" w:hAnsi="Times New Roman" w:cs="Times New Roman"/>
          <w:i/>
          <w:szCs w:val="24"/>
        </w:rPr>
        <w:t xml:space="preserve"> Affordable Homes Programme</w:t>
      </w:r>
      <w:r w:rsidR="003010AD" w:rsidRPr="00C562D6">
        <w:rPr>
          <w:rFonts w:ascii="Times New Roman" w:hAnsi="Times New Roman" w:cs="Times New Roman"/>
          <w:i/>
          <w:szCs w:val="24"/>
        </w:rPr>
        <w:t xml:space="preserve"> </w:t>
      </w:r>
      <w:r w:rsidRPr="00C562D6">
        <w:rPr>
          <w:rFonts w:ascii="Times New Roman" w:hAnsi="Times New Roman" w:cs="Times New Roman"/>
          <w:i/>
          <w:szCs w:val="24"/>
        </w:rPr>
        <w:t>(</w:t>
      </w:r>
      <w:r w:rsidR="003010AD" w:rsidRPr="00C562D6">
        <w:rPr>
          <w:rFonts w:ascii="Times New Roman" w:hAnsi="Times New Roman" w:cs="Times New Roman"/>
          <w:i/>
          <w:szCs w:val="24"/>
        </w:rPr>
        <w:t>AHP</w:t>
      </w:r>
      <w:r w:rsidRPr="00C562D6">
        <w:rPr>
          <w:rFonts w:ascii="Times New Roman" w:hAnsi="Times New Roman" w:cs="Times New Roman"/>
          <w:i/>
          <w:szCs w:val="24"/>
        </w:rPr>
        <w:t>)</w:t>
      </w:r>
      <w:r w:rsidR="003010AD" w:rsidRPr="00C562D6">
        <w:rPr>
          <w:rFonts w:ascii="Times New Roman" w:hAnsi="Times New Roman" w:cs="Times New Roman"/>
          <w:i/>
          <w:szCs w:val="24"/>
        </w:rPr>
        <w:t xml:space="preserve"> 2011—15</w:t>
      </w:r>
    </w:p>
    <w:p w:rsidR="005C241D" w:rsidRPr="00C562D6" w:rsidRDefault="005C241D" w:rsidP="00EB225B">
      <w:pPr>
        <w:spacing w:line="480" w:lineRule="auto"/>
        <w:jc w:val="both"/>
        <w:rPr>
          <w:rFonts w:ascii="Times New Roman" w:hAnsi="Times New Roman" w:cs="Times New Roman"/>
          <w:szCs w:val="24"/>
        </w:rPr>
      </w:pPr>
      <w:r w:rsidRPr="00C562D6">
        <w:rPr>
          <w:rFonts w:ascii="Times New Roman" w:hAnsi="Times New Roman" w:cs="Times New Roman"/>
          <w:szCs w:val="24"/>
        </w:rPr>
        <w:t>The new coalition government took time for its policy on social and affordable housing to become evident. Initially, the blue print for housing policy appeared to focus on reforms to the benefit system and lifelong tenancies.</w:t>
      </w:r>
      <w:r w:rsidR="00EB225B" w:rsidRPr="00C562D6">
        <w:rPr>
          <w:rFonts w:ascii="Times New Roman" w:hAnsi="Times New Roman" w:cs="Times New Roman"/>
          <w:szCs w:val="24"/>
        </w:rPr>
        <w:t xml:space="preserve"> With the Coalition government, t</w:t>
      </w:r>
      <w:r w:rsidRPr="00C562D6">
        <w:rPr>
          <w:rFonts w:ascii="Times New Roman" w:hAnsi="Times New Roman" w:cs="Times New Roman"/>
          <w:szCs w:val="24"/>
        </w:rPr>
        <w:t xml:space="preserve">he previous </w:t>
      </w:r>
      <w:r w:rsidR="00EB225B" w:rsidRPr="00C562D6">
        <w:rPr>
          <w:rFonts w:ascii="Times New Roman" w:hAnsi="Times New Roman" w:cs="Times New Roman"/>
          <w:szCs w:val="24"/>
        </w:rPr>
        <w:t>emphases of Conservative governments on privatising the social rented sector</w:t>
      </w:r>
      <w:r w:rsidRPr="00C562D6">
        <w:rPr>
          <w:rFonts w:ascii="Times New Roman" w:hAnsi="Times New Roman" w:cs="Times New Roman"/>
          <w:szCs w:val="24"/>
        </w:rPr>
        <w:t xml:space="preserve"> ‘was no longer the touchstone of policy’</w:t>
      </w:r>
      <w:r w:rsidR="00EB225B" w:rsidRPr="00C562D6">
        <w:rPr>
          <w:rFonts w:ascii="Times New Roman" w:hAnsi="Times New Roman" w:cs="Times New Roman"/>
          <w:szCs w:val="24"/>
        </w:rPr>
        <w:t xml:space="preserve"> (</w:t>
      </w:r>
      <w:proofErr w:type="spellStart"/>
      <w:r w:rsidR="00EB225B" w:rsidRPr="00C562D6">
        <w:rPr>
          <w:rFonts w:ascii="Times New Roman" w:hAnsi="Times New Roman" w:cs="Times New Roman"/>
          <w:szCs w:val="24"/>
        </w:rPr>
        <w:t>Murie</w:t>
      </w:r>
      <w:proofErr w:type="spellEnd"/>
      <w:r w:rsidR="00EB225B" w:rsidRPr="00C562D6">
        <w:rPr>
          <w:rFonts w:ascii="Times New Roman" w:hAnsi="Times New Roman" w:cs="Times New Roman"/>
          <w:szCs w:val="24"/>
        </w:rPr>
        <w:t>, 2012: 1034)</w:t>
      </w:r>
      <w:r w:rsidRPr="00C562D6">
        <w:rPr>
          <w:rFonts w:ascii="Times New Roman" w:hAnsi="Times New Roman" w:cs="Times New Roman"/>
          <w:szCs w:val="24"/>
        </w:rPr>
        <w:t>. When house building was considered</w:t>
      </w:r>
      <w:r w:rsidR="002C43B0" w:rsidRPr="00C562D6">
        <w:rPr>
          <w:rFonts w:ascii="Times New Roman" w:hAnsi="Times New Roman" w:cs="Times New Roman"/>
          <w:szCs w:val="24"/>
        </w:rPr>
        <w:t>,</w:t>
      </w:r>
      <w:r w:rsidRPr="00C562D6">
        <w:rPr>
          <w:rFonts w:ascii="Times New Roman" w:hAnsi="Times New Roman" w:cs="Times New Roman"/>
          <w:szCs w:val="24"/>
        </w:rPr>
        <w:t xml:space="preserve"> the focus was on the failures (perceived and real) of the planning system. </w:t>
      </w:r>
      <w:r w:rsidR="00EB225B" w:rsidRPr="00C562D6">
        <w:rPr>
          <w:rFonts w:ascii="Times New Roman" w:hAnsi="Times New Roman" w:cs="Times New Roman"/>
          <w:szCs w:val="24"/>
        </w:rPr>
        <w:t xml:space="preserve"> L</w:t>
      </w:r>
      <w:r w:rsidRPr="00C562D6">
        <w:rPr>
          <w:rFonts w:ascii="Times New Roman" w:hAnsi="Times New Roman" w:cs="Times New Roman"/>
          <w:szCs w:val="24"/>
        </w:rPr>
        <w:t>e</w:t>
      </w:r>
      <w:r w:rsidR="00EB225B" w:rsidRPr="00C562D6">
        <w:rPr>
          <w:rFonts w:ascii="Times New Roman" w:hAnsi="Times New Roman" w:cs="Times New Roman"/>
          <w:szCs w:val="24"/>
        </w:rPr>
        <w:t>a</w:t>
      </w:r>
      <w:r w:rsidRPr="00C562D6">
        <w:rPr>
          <w:rFonts w:ascii="Times New Roman" w:hAnsi="Times New Roman" w:cs="Times New Roman"/>
          <w:szCs w:val="24"/>
        </w:rPr>
        <w:t>d</w:t>
      </w:r>
      <w:r w:rsidR="00EB225B" w:rsidRPr="00C562D6">
        <w:rPr>
          <w:rFonts w:ascii="Times New Roman" w:hAnsi="Times New Roman" w:cs="Times New Roman"/>
          <w:szCs w:val="24"/>
        </w:rPr>
        <w:t>ing</w:t>
      </w:r>
      <w:r w:rsidRPr="00C562D6">
        <w:rPr>
          <w:rFonts w:ascii="Times New Roman" w:hAnsi="Times New Roman" w:cs="Times New Roman"/>
          <w:szCs w:val="24"/>
        </w:rPr>
        <w:t xml:space="preserve"> the new Minister for Housing to write:</w:t>
      </w:r>
    </w:p>
    <w:p w:rsidR="005C241D" w:rsidRPr="00C562D6" w:rsidRDefault="005C241D" w:rsidP="00060A0D">
      <w:pPr>
        <w:autoSpaceDE w:val="0"/>
        <w:autoSpaceDN w:val="0"/>
        <w:adjustRightInd w:val="0"/>
        <w:spacing w:line="480" w:lineRule="auto"/>
        <w:ind w:left="720"/>
        <w:jc w:val="both"/>
        <w:rPr>
          <w:rFonts w:ascii="Times New Roman" w:hAnsi="Times New Roman" w:cs="Times New Roman"/>
          <w:szCs w:val="24"/>
        </w:rPr>
      </w:pPr>
      <w:r w:rsidRPr="00C562D6">
        <w:rPr>
          <w:rFonts w:ascii="Times New Roman" w:hAnsi="Times New Roman" w:cs="Times New Roman"/>
          <w:szCs w:val="24"/>
        </w:rPr>
        <w:t>For decades house building ha</w:t>
      </w:r>
      <w:bookmarkStart w:id="0" w:name="_GoBack"/>
      <w:bookmarkEnd w:id="0"/>
      <w:r w:rsidRPr="00C562D6">
        <w:rPr>
          <w:rFonts w:ascii="Times New Roman" w:hAnsi="Times New Roman" w:cs="Times New Roman"/>
          <w:szCs w:val="24"/>
        </w:rPr>
        <w:t>s failed to keep pace with people’s needs. And</w:t>
      </w:r>
      <w:r w:rsidR="00705C05" w:rsidRPr="00C562D6">
        <w:rPr>
          <w:rFonts w:ascii="Times New Roman" w:hAnsi="Times New Roman" w:cs="Times New Roman"/>
          <w:szCs w:val="24"/>
        </w:rPr>
        <w:t xml:space="preserve"> </w:t>
      </w:r>
      <w:r w:rsidRPr="00C562D6">
        <w:rPr>
          <w:rFonts w:ascii="Times New Roman" w:hAnsi="Times New Roman" w:cs="Times New Roman"/>
          <w:szCs w:val="24"/>
        </w:rPr>
        <w:t>recently, a combination of the recession, divisive top-down targets and a</w:t>
      </w:r>
      <w:r w:rsidR="00705C05" w:rsidRPr="00C562D6">
        <w:rPr>
          <w:rFonts w:ascii="Times New Roman" w:hAnsi="Times New Roman" w:cs="Times New Roman"/>
          <w:szCs w:val="24"/>
        </w:rPr>
        <w:t xml:space="preserve"> p</w:t>
      </w:r>
      <w:r w:rsidRPr="00C562D6">
        <w:rPr>
          <w:rFonts w:ascii="Times New Roman" w:hAnsi="Times New Roman" w:cs="Times New Roman"/>
          <w:szCs w:val="24"/>
        </w:rPr>
        <w:t>ublic</w:t>
      </w:r>
      <w:r w:rsidR="00705C05" w:rsidRPr="00C562D6">
        <w:rPr>
          <w:rFonts w:ascii="Times New Roman" w:hAnsi="Times New Roman" w:cs="Times New Roman"/>
          <w:szCs w:val="24"/>
        </w:rPr>
        <w:t xml:space="preserve"> </w:t>
      </w:r>
      <w:r w:rsidRPr="00C562D6">
        <w:rPr>
          <w:rFonts w:ascii="Times New Roman" w:hAnsi="Times New Roman" w:cs="Times New Roman"/>
          <w:szCs w:val="24"/>
        </w:rPr>
        <w:t>subsidy-driven approach has led to a catastrophic decline in the</w:t>
      </w:r>
      <w:r w:rsidR="00705C05" w:rsidRPr="00C562D6">
        <w:rPr>
          <w:rFonts w:ascii="Times New Roman" w:hAnsi="Times New Roman" w:cs="Times New Roman"/>
          <w:szCs w:val="24"/>
        </w:rPr>
        <w:t xml:space="preserve"> </w:t>
      </w:r>
      <w:r w:rsidRPr="00C562D6">
        <w:rPr>
          <w:rFonts w:ascii="Times New Roman" w:hAnsi="Times New Roman" w:cs="Times New Roman"/>
          <w:szCs w:val="24"/>
        </w:rPr>
        <w:t>number of new</w:t>
      </w:r>
      <w:r w:rsidR="00705C05" w:rsidRPr="00C562D6">
        <w:rPr>
          <w:rFonts w:ascii="Times New Roman" w:hAnsi="Times New Roman" w:cs="Times New Roman"/>
          <w:szCs w:val="24"/>
        </w:rPr>
        <w:t xml:space="preserve"> </w:t>
      </w:r>
      <w:r w:rsidRPr="00C562D6">
        <w:rPr>
          <w:rFonts w:ascii="Times New Roman" w:hAnsi="Times New Roman" w:cs="Times New Roman"/>
          <w:szCs w:val="24"/>
        </w:rPr>
        <w:t>homes.[ . . . ] The previous system did not provide the right incentives for councils and local</w:t>
      </w:r>
      <w:r w:rsidR="00705C05" w:rsidRPr="00C562D6">
        <w:rPr>
          <w:rFonts w:ascii="Times New Roman" w:hAnsi="Times New Roman" w:cs="Times New Roman"/>
          <w:szCs w:val="24"/>
        </w:rPr>
        <w:t xml:space="preserve"> </w:t>
      </w:r>
      <w:r w:rsidRPr="00C562D6">
        <w:rPr>
          <w:rFonts w:ascii="Times New Roman" w:hAnsi="Times New Roman" w:cs="Times New Roman"/>
          <w:szCs w:val="24"/>
        </w:rPr>
        <w:t>people to welcome the local growth that they can see is needed.</w:t>
      </w:r>
    </w:p>
    <w:p w:rsidR="00EB225B" w:rsidRPr="00C562D6" w:rsidRDefault="00EB225B" w:rsidP="00EB225B">
      <w:pPr>
        <w:autoSpaceDE w:val="0"/>
        <w:autoSpaceDN w:val="0"/>
        <w:adjustRightInd w:val="0"/>
        <w:spacing w:line="480" w:lineRule="auto"/>
        <w:ind w:left="720"/>
        <w:jc w:val="right"/>
        <w:rPr>
          <w:rFonts w:ascii="Times New Roman" w:hAnsi="Times New Roman" w:cs="Times New Roman"/>
          <w:szCs w:val="24"/>
        </w:rPr>
      </w:pPr>
      <w:r w:rsidRPr="00C562D6">
        <w:rPr>
          <w:rFonts w:ascii="Times New Roman" w:hAnsi="Times New Roman" w:cs="Times New Roman"/>
        </w:rPr>
        <w:t>DCLG (2011: 4)</w:t>
      </w:r>
      <w:r w:rsidR="00D851DB" w:rsidRPr="00C562D6">
        <w:rPr>
          <w:rFonts w:ascii="Times New Roman" w:hAnsi="Times New Roman" w:cs="Times New Roman"/>
        </w:rPr>
        <w:t>.</w:t>
      </w:r>
    </w:p>
    <w:p w:rsidR="005C241D" w:rsidRPr="00C562D6" w:rsidRDefault="00705C05" w:rsidP="00060A0D">
      <w:pPr>
        <w:spacing w:after="240" w:line="480" w:lineRule="auto"/>
        <w:jc w:val="both"/>
        <w:rPr>
          <w:rFonts w:ascii="Times New Roman" w:hAnsi="Times New Roman" w:cs="Times New Roman"/>
          <w:szCs w:val="24"/>
        </w:rPr>
      </w:pPr>
      <w:r w:rsidRPr="00C562D6">
        <w:rPr>
          <w:rFonts w:ascii="Times New Roman" w:hAnsi="Times New Roman" w:cs="Times New Roman"/>
          <w:szCs w:val="24"/>
        </w:rPr>
        <w:t>The new Minister pointed out that the level of house building was at its lowest peace time level since 1923-24.</w:t>
      </w:r>
    </w:p>
    <w:p w:rsidR="005237B7" w:rsidRPr="00C562D6" w:rsidRDefault="00214430" w:rsidP="005237B7">
      <w:pPr>
        <w:spacing w:after="240" w:line="480" w:lineRule="auto"/>
        <w:jc w:val="both"/>
        <w:rPr>
          <w:rFonts w:ascii="Times New Roman" w:hAnsi="Times New Roman" w:cs="Times New Roman"/>
          <w:szCs w:val="24"/>
        </w:rPr>
      </w:pPr>
      <w:r w:rsidRPr="00C562D6">
        <w:rPr>
          <w:rFonts w:ascii="Times New Roman" w:hAnsi="Times New Roman" w:cs="Times New Roman"/>
          <w:szCs w:val="24"/>
        </w:rPr>
        <w:t>However, among the early announcements</w:t>
      </w:r>
      <w:r w:rsidR="00266A4D" w:rsidRPr="00C562D6">
        <w:rPr>
          <w:rFonts w:ascii="Times New Roman" w:hAnsi="Times New Roman" w:cs="Times New Roman"/>
          <w:szCs w:val="24"/>
        </w:rPr>
        <w:t xml:space="preserve"> of the new government</w:t>
      </w:r>
      <w:r w:rsidRPr="00C562D6">
        <w:rPr>
          <w:rFonts w:ascii="Times New Roman" w:hAnsi="Times New Roman" w:cs="Times New Roman"/>
          <w:szCs w:val="24"/>
        </w:rPr>
        <w:t xml:space="preserve"> was an idea that is now central to the AHP, the </w:t>
      </w:r>
      <w:r w:rsidRPr="00C562D6">
        <w:rPr>
          <w:rFonts w:ascii="Times New Roman" w:hAnsi="Times New Roman" w:cs="Times New Roman"/>
          <w:i/>
          <w:szCs w:val="24"/>
        </w:rPr>
        <w:t>affordable rent product</w:t>
      </w:r>
      <w:r w:rsidRPr="00C562D6">
        <w:rPr>
          <w:rFonts w:ascii="Times New Roman" w:hAnsi="Times New Roman" w:cs="Times New Roman"/>
          <w:szCs w:val="24"/>
        </w:rPr>
        <w:t xml:space="preserve">. Affordable </w:t>
      </w:r>
      <w:r w:rsidR="007B3BF0" w:rsidRPr="00C562D6">
        <w:rPr>
          <w:rFonts w:ascii="Times New Roman" w:hAnsi="Times New Roman" w:cs="Times New Roman"/>
          <w:szCs w:val="24"/>
        </w:rPr>
        <w:t>was</w:t>
      </w:r>
      <w:r w:rsidRPr="00C562D6">
        <w:rPr>
          <w:rFonts w:ascii="Times New Roman" w:hAnsi="Times New Roman" w:cs="Times New Roman"/>
          <w:szCs w:val="24"/>
        </w:rPr>
        <w:t xml:space="preserve"> defined as up to 80 per cent </w:t>
      </w:r>
      <w:r w:rsidR="005D1673" w:rsidRPr="00C562D6">
        <w:rPr>
          <w:rFonts w:ascii="Times New Roman" w:hAnsi="Times New Roman" w:cs="Times New Roman"/>
          <w:szCs w:val="24"/>
        </w:rPr>
        <w:t>of the market rate for that local area</w:t>
      </w:r>
      <w:r w:rsidR="005D1673" w:rsidRPr="00C562D6">
        <w:rPr>
          <w:rStyle w:val="FootnoteReference"/>
          <w:rFonts w:ascii="Times New Roman" w:hAnsi="Times New Roman" w:cs="Times New Roman"/>
          <w:szCs w:val="24"/>
        </w:rPr>
        <w:footnoteReference w:id="10"/>
      </w:r>
      <w:r w:rsidR="005D1673" w:rsidRPr="00C562D6">
        <w:rPr>
          <w:rFonts w:ascii="Times New Roman" w:hAnsi="Times New Roman" w:cs="Times New Roman"/>
          <w:szCs w:val="24"/>
        </w:rPr>
        <w:t>.</w:t>
      </w:r>
      <w:r w:rsidR="007D71FC" w:rsidRPr="00C562D6">
        <w:rPr>
          <w:rFonts w:ascii="Times New Roman" w:hAnsi="Times New Roman" w:cs="Times New Roman"/>
          <w:szCs w:val="24"/>
        </w:rPr>
        <w:t xml:space="preserve"> </w:t>
      </w:r>
      <w:r w:rsidR="00266A4D" w:rsidRPr="00C562D6">
        <w:rPr>
          <w:rFonts w:ascii="Times New Roman" w:hAnsi="Times New Roman" w:cs="Times New Roman"/>
          <w:szCs w:val="24"/>
        </w:rPr>
        <w:t xml:space="preserve">The basic idea is to generate additional incoming </w:t>
      </w:r>
      <w:proofErr w:type="spellStart"/>
      <w:r w:rsidR="00266A4D" w:rsidRPr="00C562D6">
        <w:rPr>
          <w:rFonts w:ascii="Times New Roman" w:hAnsi="Times New Roman" w:cs="Times New Roman"/>
          <w:szCs w:val="24"/>
        </w:rPr>
        <w:lastRenderedPageBreak/>
        <w:t>cashflows</w:t>
      </w:r>
      <w:proofErr w:type="spellEnd"/>
      <w:r w:rsidR="00266A4D" w:rsidRPr="00C562D6">
        <w:rPr>
          <w:rFonts w:ascii="Times New Roman" w:hAnsi="Times New Roman" w:cs="Times New Roman"/>
          <w:szCs w:val="24"/>
        </w:rPr>
        <w:t xml:space="preserve"> that could sustain a higher level of borrowing. Therefore, a</w:t>
      </w:r>
      <w:r w:rsidR="007D71FC" w:rsidRPr="00C562D6">
        <w:rPr>
          <w:rFonts w:ascii="Times New Roman" w:hAnsi="Times New Roman" w:cs="Times New Roman"/>
          <w:szCs w:val="24"/>
        </w:rPr>
        <w:t>ffordable rents are set at a higher level that existing socially rented homes, whether through housing associations or local authorities</w:t>
      </w:r>
      <w:r w:rsidR="00266A4D" w:rsidRPr="00C562D6">
        <w:rPr>
          <w:rStyle w:val="FootnoteReference"/>
          <w:rFonts w:ascii="Times New Roman" w:hAnsi="Times New Roman" w:cs="Times New Roman"/>
          <w:szCs w:val="24"/>
        </w:rPr>
        <w:footnoteReference w:id="11"/>
      </w:r>
      <w:r w:rsidR="007D71FC" w:rsidRPr="00C562D6">
        <w:rPr>
          <w:rFonts w:ascii="Times New Roman" w:hAnsi="Times New Roman" w:cs="Times New Roman"/>
          <w:szCs w:val="24"/>
        </w:rPr>
        <w:t xml:space="preserve">. This additional income stream </w:t>
      </w:r>
      <w:r w:rsidR="00266A4D" w:rsidRPr="00C562D6">
        <w:rPr>
          <w:rFonts w:ascii="Times New Roman" w:hAnsi="Times New Roman" w:cs="Times New Roman"/>
          <w:szCs w:val="24"/>
        </w:rPr>
        <w:t>also</w:t>
      </w:r>
      <w:r w:rsidR="007D71FC" w:rsidRPr="00C562D6">
        <w:rPr>
          <w:rFonts w:ascii="Times New Roman" w:hAnsi="Times New Roman" w:cs="Times New Roman"/>
          <w:szCs w:val="24"/>
        </w:rPr>
        <w:t xml:space="preserve"> allow</w:t>
      </w:r>
      <w:r w:rsidR="00266A4D" w:rsidRPr="00C562D6">
        <w:rPr>
          <w:rFonts w:ascii="Times New Roman" w:hAnsi="Times New Roman" w:cs="Times New Roman"/>
          <w:szCs w:val="24"/>
        </w:rPr>
        <w:t>s</w:t>
      </w:r>
      <w:r w:rsidR="007D71FC" w:rsidRPr="00C562D6">
        <w:rPr>
          <w:rFonts w:ascii="Times New Roman" w:hAnsi="Times New Roman" w:cs="Times New Roman"/>
          <w:szCs w:val="24"/>
        </w:rPr>
        <w:t xml:space="preserve"> the public subsidy</w:t>
      </w:r>
      <w:r w:rsidR="00266A4D" w:rsidRPr="00C562D6">
        <w:rPr>
          <w:rFonts w:ascii="Times New Roman" w:hAnsi="Times New Roman" w:cs="Times New Roman"/>
          <w:szCs w:val="24"/>
        </w:rPr>
        <w:t xml:space="preserve"> through AHP</w:t>
      </w:r>
      <w:r w:rsidR="007D71FC" w:rsidRPr="00C562D6">
        <w:rPr>
          <w:rFonts w:ascii="Times New Roman" w:hAnsi="Times New Roman" w:cs="Times New Roman"/>
          <w:szCs w:val="24"/>
        </w:rPr>
        <w:t xml:space="preserve"> </w:t>
      </w:r>
      <w:r w:rsidR="000E3CB6" w:rsidRPr="00C562D6">
        <w:rPr>
          <w:rFonts w:ascii="Times New Roman" w:hAnsi="Times New Roman" w:cs="Times New Roman"/>
          <w:szCs w:val="24"/>
        </w:rPr>
        <w:t>to be reduced</w:t>
      </w:r>
      <w:r w:rsidR="00266A4D" w:rsidRPr="00C562D6">
        <w:rPr>
          <w:rFonts w:ascii="Times New Roman" w:hAnsi="Times New Roman" w:cs="Times New Roman"/>
          <w:szCs w:val="24"/>
        </w:rPr>
        <w:t xml:space="preserve"> dramatically</w:t>
      </w:r>
      <w:r w:rsidR="000E3CB6" w:rsidRPr="00C562D6">
        <w:rPr>
          <w:rFonts w:ascii="Times New Roman" w:hAnsi="Times New Roman" w:cs="Times New Roman"/>
          <w:szCs w:val="24"/>
        </w:rPr>
        <w:t>.</w:t>
      </w:r>
    </w:p>
    <w:p w:rsidR="00310DB2" w:rsidRPr="00C562D6" w:rsidRDefault="00310DB2" w:rsidP="005237B7">
      <w:pPr>
        <w:spacing w:line="480" w:lineRule="auto"/>
        <w:jc w:val="both"/>
        <w:rPr>
          <w:rFonts w:ascii="Times New Roman" w:hAnsi="Times New Roman" w:cs="Times New Roman"/>
          <w:szCs w:val="24"/>
        </w:rPr>
      </w:pPr>
      <w:r w:rsidRPr="00C562D6">
        <w:rPr>
          <w:rFonts w:ascii="Times New Roman" w:hAnsi="Times New Roman" w:cs="Times New Roman"/>
          <w:szCs w:val="24"/>
        </w:rPr>
        <w:t xml:space="preserve">The other major change </w:t>
      </w:r>
      <w:r w:rsidR="00BD6E28" w:rsidRPr="00C562D6">
        <w:rPr>
          <w:rFonts w:ascii="Times New Roman" w:hAnsi="Times New Roman" w:cs="Times New Roman"/>
          <w:szCs w:val="24"/>
        </w:rPr>
        <w:t>from</w:t>
      </w:r>
      <w:r w:rsidRPr="00C562D6">
        <w:rPr>
          <w:rFonts w:ascii="Times New Roman" w:hAnsi="Times New Roman" w:cs="Times New Roman"/>
          <w:szCs w:val="24"/>
        </w:rPr>
        <w:t xml:space="preserve"> the previous government’s NAHP concerns the process for assessing the bids. The AHP has a different</w:t>
      </w:r>
      <w:r w:rsidR="00B049CC" w:rsidRPr="00C562D6">
        <w:rPr>
          <w:rFonts w:ascii="Times New Roman" w:hAnsi="Times New Roman" w:cs="Times New Roman"/>
          <w:szCs w:val="24"/>
        </w:rPr>
        <w:t xml:space="preserve"> flexible</w:t>
      </w:r>
      <w:r w:rsidR="00F57367" w:rsidRPr="00C562D6">
        <w:rPr>
          <w:rFonts w:ascii="Times New Roman" w:hAnsi="Times New Roman" w:cs="Times New Roman"/>
          <w:szCs w:val="24"/>
        </w:rPr>
        <w:t>,</w:t>
      </w:r>
      <w:r w:rsidRPr="00C562D6">
        <w:rPr>
          <w:rFonts w:ascii="Times New Roman" w:hAnsi="Times New Roman" w:cs="Times New Roman"/>
          <w:szCs w:val="24"/>
        </w:rPr>
        <w:t xml:space="preserve"> delivery model where:</w:t>
      </w:r>
    </w:p>
    <w:p w:rsidR="00F57367" w:rsidRPr="00C562D6" w:rsidRDefault="004B08D4" w:rsidP="00060A0D">
      <w:pPr>
        <w:spacing w:line="480" w:lineRule="auto"/>
        <w:ind w:left="720"/>
        <w:jc w:val="both"/>
        <w:rPr>
          <w:rFonts w:ascii="Times New Roman" w:hAnsi="Times New Roman" w:cs="Times New Roman"/>
          <w:szCs w:val="24"/>
        </w:rPr>
      </w:pPr>
      <w:r w:rsidRPr="00C562D6">
        <w:rPr>
          <w:rFonts w:ascii="Times New Roman" w:hAnsi="Times New Roman" w:cs="Times New Roman"/>
          <w:szCs w:val="24"/>
        </w:rPr>
        <w:t>We are looking for providers to set out their proposals for a four year programme covering how they will manage their existing assets and capacity – and in particular how they will use the flexibility to convert some of their current stock to Affordable Rent (or other tenures) – alongside</w:t>
      </w:r>
      <w:r w:rsidR="00310DB2" w:rsidRPr="00C562D6">
        <w:rPr>
          <w:rFonts w:ascii="Times New Roman" w:hAnsi="Times New Roman" w:cs="Times New Roman"/>
          <w:szCs w:val="24"/>
        </w:rPr>
        <w:t xml:space="preserve"> </w:t>
      </w:r>
      <w:r w:rsidRPr="00C562D6">
        <w:rPr>
          <w:rFonts w:ascii="Times New Roman" w:hAnsi="Times New Roman" w:cs="Times New Roman"/>
          <w:szCs w:val="24"/>
        </w:rPr>
        <w:t xml:space="preserve">HCA funding </w:t>
      </w:r>
      <w:r w:rsidR="00B049CC" w:rsidRPr="00C562D6">
        <w:rPr>
          <w:rFonts w:ascii="Times New Roman" w:hAnsi="Times New Roman" w:cs="Times New Roman"/>
          <w:szCs w:val="24"/>
        </w:rPr>
        <w:t>–</w:t>
      </w:r>
      <w:r w:rsidRPr="00C562D6">
        <w:rPr>
          <w:rFonts w:ascii="Times New Roman" w:hAnsi="Times New Roman" w:cs="Times New Roman"/>
          <w:szCs w:val="24"/>
        </w:rPr>
        <w:t xml:space="preserve"> to generate significant volumes of new supply.</w:t>
      </w:r>
    </w:p>
    <w:p w:rsidR="004B08D4" w:rsidRPr="00C562D6" w:rsidRDefault="00F57367" w:rsidP="00F57367">
      <w:pPr>
        <w:spacing w:line="480" w:lineRule="auto"/>
        <w:ind w:left="720"/>
        <w:jc w:val="right"/>
        <w:rPr>
          <w:rFonts w:ascii="Times New Roman" w:hAnsi="Times New Roman" w:cs="Times New Roman"/>
          <w:szCs w:val="24"/>
        </w:rPr>
      </w:pPr>
      <w:r w:rsidRPr="00C562D6">
        <w:rPr>
          <w:rFonts w:ascii="Times New Roman" w:hAnsi="Times New Roman" w:cs="Times New Roman"/>
          <w:szCs w:val="24"/>
        </w:rPr>
        <w:t>HCA (2011: 7).</w:t>
      </w:r>
      <w:r w:rsidR="004B08D4" w:rsidRPr="00C562D6">
        <w:rPr>
          <w:rFonts w:ascii="Times New Roman" w:hAnsi="Times New Roman" w:cs="Times New Roman"/>
          <w:szCs w:val="24"/>
        </w:rPr>
        <w:t xml:space="preserve"> </w:t>
      </w:r>
    </w:p>
    <w:p w:rsidR="003010AD" w:rsidRPr="00C562D6" w:rsidRDefault="00B049CC" w:rsidP="00060A0D">
      <w:pPr>
        <w:spacing w:before="240" w:line="480" w:lineRule="auto"/>
        <w:jc w:val="both"/>
        <w:rPr>
          <w:rFonts w:ascii="Times New Roman" w:hAnsi="Times New Roman" w:cs="Times New Roman"/>
          <w:szCs w:val="24"/>
        </w:rPr>
      </w:pPr>
      <w:r w:rsidRPr="00C562D6">
        <w:rPr>
          <w:rFonts w:ascii="Times New Roman" w:hAnsi="Times New Roman" w:cs="Times New Roman"/>
          <w:szCs w:val="24"/>
        </w:rPr>
        <w:t xml:space="preserve">In effect this means a move from a scheme by scheme appraisal to a whole stock assessment for each bidder over a four year period. In the process bidders are expected to set out the contribution </w:t>
      </w:r>
      <w:r w:rsidR="005F7CC5" w:rsidRPr="00C562D6">
        <w:rPr>
          <w:rFonts w:ascii="Times New Roman" w:hAnsi="Times New Roman" w:cs="Times New Roman"/>
          <w:szCs w:val="24"/>
        </w:rPr>
        <w:t>they will</w:t>
      </w:r>
      <w:r w:rsidRPr="00C562D6">
        <w:rPr>
          <w:rFonts w:ascii="Times New Roman" w:hAnsi="Times New Roman" w:cs="Times New Roman"/>
          <w:szCs w:val="24"/>
        </w:rPr>
        <w:t xml:space="preserve"> make to support their proposals to deliver a programme of new supply</w:t>
      </w:r>
      <w:r w:rsidR="00AF7225" w:rsidRPr="00C562D6">
        <w:rPr>
          <w:rFonts w:ascii="Times New Roman" w:hAnsi="Times New Roman" w:cs="Times New Roman"/>
          <w:szCs w:val="24"/>
        </w:rPr>
        <w:t xml:space="preserve"> (HCA, 2011: 9)</w:t>
      </w:r>
      <w:r w:rsidR="005F7CC5" w:rsidRPr="00C562D6">
        <w:rPr>
          <w:rFonts w:ascii="Times New Roman" w:hAnsi="Times New Roman" w:cs="Times New Roman"/>
          <w:szCs w:val="24"/>
        </w:rPr>
        <w:t xml:space="preserve">. In the new model the contribution from bidders is to come from </w:t>
      </w:r>
      <w:r w:rsidR="003010AD" w:rsidRPr="00C562D6">
        <w:rPr>
          <w:rFonts w:ascii="Times New Roman" w:hAnsi="Times New Roman" w:cs="Times New Roman"/>
          <w:szCs w:val="24"/>
        </w:rPr>
        <w:t>four broad funding</w:t>
      </w:r>
      <w:r w:rsidR="005615C7" w:rsidRPr="00C562D6">
        <w:rPr>
          <w:rFonts w:ascii="Times New Roman" w:hAnsi="Times New Roman" w:cs="Times New Roman"/>
          <w:szCs w:val="24"/>
        </w:rPr>
        <w:t xml:space="preserve"> sources</w:t>
      </w:r>
      <w:r w:rsidR="00AF7225" w:rsidRPr="00C562D6">
        <w:rPr>
          <w:rFonts w:ascii="Times New Roman" w:hAnsi="Times New Roman" w:cs="Times New Roman"/>
          <w:szCs w:val="24"/>
        </w:rPr>
        <w:t xml:space="preserve"> (HCA, 2011: 8-9)</w:t>
      </w:r>
      <w:r w:rsidR="003010AD" w:rsidRPr="00C562D6">
        <w:rPr>
          <w:rFonts w:ascii="Times New Roman" w:hAnsi="Times New Roman" w:cs="Times New Roman"/>
          <w:szCs w:val="24"/>
        </w:rPr>
        <w:t xml:space="preserve">: </w:t>
      </w:r>
    </w:p>
    <w:p w:rsidR="003010AD" w:rsidRPr="00C562D6" w:rsidRDefault="003010AD" w:rsidP="00060A0D">
      <w:pPr>
        <w:spacing w:line="480" w:lineRule="auto"/>
        <w:ind w:left="720"/>
        <w:jc w:val="both"/>
        <w:rPr>
          <w:rFonts w:ascii="Times New Roman" w:hAnsi="Times New Roman" w:cs="Times New Roman"/>
          <w:szCs w:val="24"/>
        </w:rPr>
      </w:pPr>
      <w:r w:rsidRPr="00C562D6">
        <w:rPr>
          <w:rFonts w:ascii="Times New Roman" w:hAnsi="Times New Roman" w:cs="Times New Roman"/>
          <w:szCs w:val="24"/>
        </w:rPr>
        <w:t xml:space="preserve"> </w:t>
      </w:r>
      <w:proofErr w:type="spellStart"/>
      <w:r w:rsidRPr="00C562D6">
        <w:rPr>
          <w:rFonts w:ascii="Times New Roman" w:hAnsi="Times New Roman" w:cs="Times New Roman"/>
          <w:szCs w:val="24"/>
        </w:rPr>
        <w:t>i</w:t>
      </w:r>
      <w:proofErr w:type="spellEnd"/>
      <w:r w:rsidRPr="00C562D6">
        <w:rPr>
          <w:rFonts w:ascii="Times New Roman" w:hAnsi="Times New Roman" w:cs="Times New Roman"/>
          <w:szCs w:val="24"/>
        </w:rPr>
        <w:t xml:space="preserve">) </w:t>
      </w:r>
      <w:proofErr w:type="gramStart"/>
      <w:r w:rsidRPr="00C562D6">
        <w:rPr>
          <w:rFonts w:ascii="Times New Roman" w:hAnsi="Times New Roman" w:cs="Times New Roman"/>
          <w:szCs w:val="24"/>
        </w:rPr>
        <w:t>the</w:t>
      </w:r>
      <w:proofErr w:type="gramEnd"/>
      <w:r w:rsidRPr="00C562D6">
        <w:rPr>
          <w:rFonts w:ascii="Times New Roman" w:hAnsi="Times New Roman" w:cs="Times New Roman"/>
          <w:szCs w:val="24"/>
        </w:rPr>
        <w:t xml:space="preserve"> additional borrowing capacity that can be generated from the</w:t>
      </w:r>
      <w:r w:rsidR="007B3BF0" w:rsidRPr="00C562D6">
        <w:rPr>
          <w:rFonts w:ascii="Times New Roman" w:hAnsi="Times New Roman" w:cs="Times New Roman"/>
          <w:szCs w:val="24"/>
        </w:rPr>
        <w:t xml:space="preserve"> </w:t>
      </w:r>
      <w:r w:rsidRPr="00C562D6">
        <w:rPr>
          <w:rFonts w:ascii="Times New Roman" w:hAnsi="Times New Roman" w:cs="Times New Roman"/>
          <w:szCs w:val="24"/>
        </w:rPr>
        <w:t>conversion of social rent properties to Affordable Rent (or other</w:t>
      </w:r>
      <w:r w:rsidR="007B3BF0" w:rsidRPr="00C562D6">
        <w:rPr>
          <w:rFonts w:ascii="Times New Roman" w:hAnsi="Times New Roman" w:cs="Times New Roman"/>
          <w:szCs w:val="24"/>
        </w:rPr>
        <w:t xml:space="preserve"> </w:t>
      </w:r>
      <w:r w:rsidRPr="00C562D6">
        <w:rPr>
          <w:rFonts w:ascii="Times New Roman" w:hAnsi="Times New Roman" w:cs="Times New Roman"/>
          <w:szCs w:val="24"/>
        </w:rPr>
        <w:t>tenures) at re-let, as well as borrowing capacity</w:t>
      </w:r>
      <w:r w:rsidR="007B3BF0" w:rsidRPr="00C562D6">
        <w:rPr>
          <w:rFonts w:ascii="Times New Roman" w:hAnsi="Times New Roman" w:cs="Times New Roman"/>
          <w:szCs w:val="24"/>
        </w:rPr>
        <w:t xml:space="preserve"> g</w:t>
      </w:r>
      <w:r w:rsidRPr="00C562D6">
        <w:rPr>
          <w:rFonts w:ascii="Times New Roman" w:hAnsi="Times New Roman" w:cs="Times New Roman"/>
          <w:szCs w:val="24"/>
        </w:rPr>
        <w:t xml:space="preserve">enerated by the net rental income stream of the new properties developed; </w:t>
      </w:r>
    </w:p>
    <w:p w:rsidR="003010AD" w:rsidRPr="00C562D6" w:rsidRDefault="003010AD" w:rsidP="00060A0D">
      <w:pPr>
        <w:spacing w:line="480" w:lineRule="auto"/>
        <w:ind w:left="720"/>
        <w:jc w:val="both"/>
        <w:rPr>
          <w:rFonts w:ascii="Times New Roman" w:hAnsi="Times New Roman" w:cs="Times New Roman"/>
          <w:szCs w:val="24"/>
        </w:rPr>
      </w:pPr>
      <w:r w:rsidRPr="00C562D6">
        <w:rPr>
          <w:rFonts w:ascii="Times New Roman" w:hAnsi="Times New Roman" w:cs="Times New Roman"/>
          <w:szCs w:val="24"/>
        </w:rPr>
        <w:lastRenderedPageBreak/>
        <w:t xml:space="preserve"> ii) </w:t>
      </w:r>
      <w:proofErr w:type="gramStart"/>
      <w:r w:rsidRPr="00C562D6">
        <w:rPr>
          <w:rFonts w:ascii="Times New Roman" w:hAnsi="Times New Roman" w:cs="Times New Roman"/>
          <w:szCs w:val="24"/>
        </w:rPr>
        <w:t>existing</w:t>
      </w:r>
      <w:proofErr w:type="gramEnd"/>
      <w:r w:rsidRPr="00C562D6">
        <w:rPr>
          <w:rFonts w:ascii="Times New Roman" w:hAnsi="Times New Roman" w:cs="Times New Roman"/>
          <w:szCs w:val="24"/>
        </w:rPr>
        <w:t xml:space="preserve"> sources of cross subsidy, including provider surpluses,</w:t>
      </w:r>
      <w:r w:rsidR="007B3BF0" w:rsidRPr="00C562D6">
        <w:rPr>
          <w:rFonts w:ascii="Times New Roman" w:hAnsi="Times New Roman" w:cs="Times New Roman"/>
          <w:szCs w:val="24"/>
        </w:rPr>
        <w:t xml:space="preserve"> </w:t>
      </w:r>
      <w:r w:rsidRPr="00C562D6">
        <w:rPr>
          <w:rFonts w:ascii="Times New Roman" w:hAnsi="Times New Roman" w:cs="Times New Roman"/>
          <w:szCs w:val="24"/>
        </w:rPr>
        <w:t xml:space="preserve">income from developing new properties for outright sale, Recycled Capital Grant Funding (RCGF) and Disposals Proceeds Fund (DPF) and s106 cross subsidy; </w:t>
      </w:r>
    </w:p>
    <w:p w:rsidR="003010AD" w:rsidRPr="00C562D6" w:rsidRDefault="003010AD" w:rsidP="00060A0D">
      <w:pPr>
        <w:spacing w:line="480" w:lineRule="auto"/>
        <w:ind w:left="720"/>
        <w:jc w:val="both"/>
        <w:rPr>
          <w:rFonts w:ascii="Times New Roman" w:hAnsi="Times New Roman" w:cs="Times New Roman"/>
          <w:szCs w:val="24"/>
        </w:rPr>
      </w:pPr>
      <w:r w:rsidRPr="00C562D6">
        <w:rPr>
          <w:rFonts w:ascii="Times New Roman" w:hAnsi="Times New Roman" w:cs="Times New Roman"/>
          <w:szCs w:val="24"/>
        </w:rPr>
        <w:t xml:space="preserve"> iii) HCA funding where required for development to be viable; and </w:t>
      </w:r>
    </w:p>
    <w:p w:rsidR="003010AD" w:rsidRPr="00C562D6" w:rsidRDefault="003010AD" w:rsidP="00060A0D">
      <w:pPr>
        <w:spacing w:line="480" w:lineRule="auto"/>
        <w:ind w:left="720"/>
        <w:jc w:val="both"/>
        <w:rPr>
          <w:rFonts w:ascii="Times New Roman" w:hAnsi="Times New Roman" w:cs="Times New Roman"/>
          <w:szCs w:val="24"/>
        </w:rPr>
      </w:pPr>
      <w:r w:rsidRPr="00C562D6">
        <w:rPr>
          <w:rFonts w:ascii="Times New Roman" w:hAnsi="Times New Roman" w:cs="Times New Roman"/>
          <w:szCs w:val="24"/>
        </w:rPr>
        <w:t xml:space="preserve"> iv) other sources of funding or means of reducing costs such as free or discounted public land, including local authority land, and local authority contributions for example from the New Homes Bonus.  </w:t>
      </w:r>
    </w:p>
    <w:p w:rsidR="00603BD5" w:rsidRPr="00C562D6" w:rsidRDefault="00603BD5" w:rsidP="00060A0D">
      <w:pPr>
        <w:spacing w:after="240" w:line="480" w:lineRule="auto"/>
        <w:jc w:val="both"/>
        <w:rPr>
          <w:rFonts w:ascii="Times New Roman" w:hAnsi="Times New Roman" w:cs="Times New Roman"/>
          <w:szCs w:val="24"/>
        </w:rPr>
      </w:pPr>
      <w:r w:rsidRPr="00C562D6">
        <w:rPr>
          <w:rFonts w:ascii="Times New Roman" w:hAnsi="Times New Roman" w:cs="Times New Roman"/>
          <w:szCs w:val="24"/>
        </w:rPr>
        <w:t>It is here that all three elements of financialization outlined earlier are present. First with the additional debt the housing associations are expected to take on; second with the one-off consumption of existing resource highlighting the short-termism involved. And third the accumulation by dispossession where publicly owned assets (e.g. local authority land is to be handed over for free or at a discounted level).</w:t>
      </w:r>
    </w:p>
    <w:p w:rsidR="00556C50" w:rsidRPr="00C562D6" w:rsidRDefault="00EF62D2" w:rsidP="00060A0D">
      <w:pPr>
        <w:spacing w:after="240" w:line="480" w:lineRule="auto"/>
        <w:jc w:val="both"/>
        <w:rPr>
          <w:rFonts w:ascii="Times New Roman" w:hAnsi="Times New Roman" w:cs="Times New Roman"/>
          <w:szCs w:val="24"/>
        </w:rPr>
      </w:pPr>
      <w:r w:rsidRPr="00C562D6">
        <w:rPr>
          <w:rFonts w:ascii="Times New Roman" w:hAnsi="Times New Roman" w:cs="Times New Roman"/>
          <w:szCs w:val="24"/>
        </w:rPr>
        <w:t xml:space="preserve">The </w:t>
      </w:r>
      <w:r w:rsidR="00B54A60" w:rsidRPr="00C562D6">
        <w:rPr>
          <w:rFonts w:ascii="Times New Roman" w:hAnsi="Times New Roman" w:cs="Times New Roman"/>
          <w:szCs w:val="24"/>
        </w:rPr>
        <w:t>products</w:t>
      </w:r>
      <w:r w:rsidRPr="00C562D6">
        <w:rPr>
          <w:rFonts w:ascii="Times New Roman" w:hAnsi="Times New Roman" w:cs="Times New Roman"/>
          <w:szCs w:val="24"/>
        </w:rPr>
        <w:t xml:space="preserve"> available under the AHP 2011-15</w:t>
      </w:r>
      <w:r w:rsidR="00B54A60" w:rsidRPr="00C562D6">
        <w:rPr>
          <w:rFonts w:ascii="Times New Roman" w:hAnsi="Times New Roman" w:cs="Times New Roman"/>
          <w:szCs w:val="24"/>
        </w:rPr>
        <w:t>, alongside affordable rent homes, are affordable homes ownership, mortgage rescue, empty homes and supported housing for the elderly. Homes to be rented at social rent levels are only to be supported</w:t>
      </w:r>
      <w:r w:rsidR="0092235F" w:rsidRPr="00C562D6">
        <w:rPr>
          <w:rFonts w:ascii="Times New Roman" w:hAnsi="Times New Roman" w:cs="Times New Roman"/>
          <w:szCs w:val="24"/>
        </w:rPr>
        <w:t xml:space="preserve"> by government grant</w:t>
      </w:r>
      <w:r w:rsidR="00B54A60" w:rsidRPr="00C562D6">
        <w:rPr>
          <w:rFonts w:ascii="Times New Roman" w:hAnsi="Times New Roman" w:cs="Times New Roman"/>
          <w:szCs w:val="24"/>
        </w:rPr>
        <w:t xml:space="preserve"> in exceptional circumstances.</w:t>
      </w:r>
    </w:p>
    <w:p w:rsidR="00B54A60" w:rsidRPr="00C562D6" w:rsidRDefault="00B54A60" w:rsidP="00060A0D">
      <w:pPr>
        <w:spacing w:line="480" w:lineRule="auto"/>
        <w:jc w:val="both"/>
        <w:rPr>
          <w:rFonts w:ascii="Times New Roman" w:hAnsi="Times New Roman" w:cs="Times New Roman"/>
          <w:szCs w:val="24"/>
        </w:rPr>
      </w:pPr>
      <w:r w:rsidRPr="00C562D6">
        <w:rPr>
          <w:rFonts w:ascii="Times New Roman" w:hAnsi="Times New Roman" w:cs="Times New Roman"/>
          <w:szCs w:val="24"/>
        </w:rPr>
        <w:t xml:space="preserve">In July 2012 the National Audit Office published a report into the </w:t>
      </w:r>
      <w:r w:rsidRPr="00C562D6">
        <w:rPr>
          <w:rFonts w:ascii="Times New Roman" w:hAnsi="Times New Roman" w:cs="Times New Roman"/>
          <w:i/>
          <w:szCs w:val="24"/>
        </w:rPr>
        <w:t>Affordable Homes Programme</w:t>
      </w:r>
      <w:r w:rsidR="0092235F" w:rsidRPr="00C562D6">
        <w:rPr>
          <w:rFonts w:ascii="Times New Roman" w:hAnsi="Times New Roman" w:cs="Times New Roman"/>
          <w:szCs w:val="24"/>
        </w:rPr>
        <w:t xml:space="preserve"> (NAO, 2012)</w:t>
      </w:r>
      <w:r w:rsidR="00123A36" w:rsidRPr="00C562D6">
        <w:rPr>
          <w:rFonts w:ascii="Times New Roman" w:hAnsi="Times New Roman" w:cs="Times New Roman"/>
          <w:szCs w:val="24"/>
        </w:rPr>
        <w:t xml:space="preserve">. </w:t>
      </w:r>
      <w:r w:rsidR="00AC173F" w:rsidRPr="00C562D6">
        <w:rPr>
          <w:rFonts w:ascii="Times New Roman" w:hAnsi="Times New Roman" w:cs="Times New Roman"/>
          <w:szCs w:val="24"/>
        </w:rPr>
        <w:t>The NAO reports that the AHP is expected to deliver 80,000 affordable homes, for both rent and ownership, over the four years of the programme.</w:t>
      </w:r>
      <w:r w:rsidR="00442675" w:rsidRPr="00C562D6">
        <w:rPr>
          <w:rFonts w:ascii="Times New Roman" w:hAnsi="Times New Roman" w:cs="Times New Roman"/>
          <w:szCs w:val="24"/>
        </w:rPr>
        <w:t xml:space="preserve"> This is higher than the expected level of 56,000 homes, when the programme was first launched.</w:t>
      </w:r>
      <w:r w:rsidR="00703815" w:rsidRPr="00C562D6">
        <w:rPr>
          <w:rFonts w:ascii="Times New Roman" w:hAnsi="Times New Roman" w:cs="Times New Roman"/>
          <w:szCs w:val="24"/>
        </w:rPr>
        <w:t xml:space="preserve"> The report summariz</w:t>
      </w:r>
      <w:r w:rsidR="00AC173F" w:rsidRPr="00C562D6">
        <w:rPr>
          <w:rFonts w:ascii="Times New Roman" w:hAnsi="Times New Roman" w:cs="Times New Roman"/>
          <w:szCs w:val="24"/>
        </w:rPr>
        <w:t>es the financial ingredients for this outcome:</w:t>
      </w:r>
    </w:p>
    <w:p w:rsidR="00B54A60" w:rsidRPr="00C562D6" w:rsidRDefault="00AC173F" w:rsidP="00060A0D">
      <w:pPr>
        <w:spacing w:line="480" w:lineRule="auto"/>
        <w:ind w:left="720"/>
        <w:jc w:val="both"/>
        <w:rPr>
          <w:rFonts w:ascii="Times New Roman" w:hAnsi="Times New Roman" w:cs="Times New Roman"/>
          <w:color w:val="000000"/>
          <w:szCs w:val="24"/>
        </w:rPr>
      </w:pPr>
      <w:r w:rsidRPr="00C562D6">
        <w:rPr>
          <w:rFonts w:ascii="Times New Roman" w:hAnsi="Times New Roman" w:cs="Times New Roman"/>
          <w:color w:val="000000"/>
          <w:szCs w:val="24"/>
        </w:rPr>
        <w:t xml:space="preserve">The Programme is intended to build housing with a third of the grant per home of earlier affordable housing schemes. It will involve housing providers spending some £12 billion on new homes, funded by a combination of government grant (£1.8 </w:t>
      </w:r>
      <w:r w:rsidRPr="00C562D6">
        <w:rPr>
          <w:rFonts w:ascii="Times New Roman" w:hAnsi="Times New Roman" w:cs="Times New Roman"/>
          <w:color w:val="000000"/>
          <w:szCs w:val="24"/>
        </w:rPr>
        <w:lastRenderedPageBreak/>
        <w:t>billion), borrowing by providers supported by rents on the new properties (we estimate around £6 billion), and funding from other sources (about £4 billion). Rents totalling around £500 million a year on new homes will be paid by tenants, approximately two-thirds of whom are supported by housing benefit.</w:t>
      </w:r>
    </w:p>
    <w:p w:rsidR="00ED077A" w:rsidRPr="00C562D6" w:rsidRDefault="00ED077A" w:rsidP="00ED077A">
      <w:pPr>
        <w:spacing w:after="240" w:line="480" w:lineRule="auto"/>
        <w:ind w:left="720"/>
        <w:jc w:val="right"/>
        <w:rPr>
          <w:rFonts w:ascii="Times New Roman" w:hAnsi="Times New Roman" w:cs="Times New Roman"/>
          <w:szCs w:val="24"/>
        </w:rPr>
      </w:pPr>
      <w:r w:rsidRPr="00C562D6">
        <w:rPr>
          <w:rFonts w:ascii="Times New Roman" w:hAnsi="Times New Roman" w:cs="Times New Roman"/>
          <w:szCs w:val="24"/>
        </w:rPr>
        <w:t xml:space="preserve">NAO </w:t>
      </w:r>
      <w:r w:rsidR="00CC57E7" w:rsidRPr="00C562D6">
        <w:rPr>
          <w:rFonts w:ascii="Times New Roman" w:hAnsi="Times New Roman" w:cs="Times New Roman"/>
          <w:szCs w:val="24"/>
        </w:rPr>
        <w:t>(</w:t>
      </w:r>
      <w:r w:rsidRPr="00C562D6">
        <w:rPr>
          <w:rFonts w:ascii="Times New Roman" w:hAnsi="Times New Roman" w:cs="Times New Roman"/>
          <w:szCs w:val="24"/>
        </w:rPr>
        <w:t>2012: 6).</w:t>
      </w:r>
    </w:p>
    <w:p w:rsidR="002B72F5" w:rsidRPr="00C562D6" w:rsidRDefault="002B72F5" w:rsidP="00060A0D">
      <w:pPr>
        <w:spacing w:after="240" w:line="480" w:lineRule="auto"/>
        <w:jc w:val="both"/>
        <w:rPr>
          <w:rFonts w:ascii="Times New Roman" w:hAnsi="Times New Roman" w:cs="Times New Roman"/>
          <w:color w:val="1F497D" w:themeColor="text2"/>
          <w:szCs w:val="24"/>
        </w:rPr>
      </w:pPr>
      <w:r w:rsidRPr="00C562D6">
        <w:rPr>
          <w:rFonts w:ascii="Times New Roman" w:hAnsi="Times New Roman" w:cs="Times New Roman"/>
          <w:szCs w:val="24"/>
          <w:shd w:val="clear" w:color="auto" w:fill="FFFFFF"/>
        </w:rPr>
        <w:t>On a per unit basis</w:t>
      </w:r>
      <w:r w:rsidR="00ED077A" w:rsidRPr="00C562D6">
        <w:rPr>
          <w:rFonts w:ascii="Times New Roman" w:hAnsi="Times New Roman" w:cs="Times New Roman"/>
          <w:szCs w:val="24"/>
          <w:shd w:val="clear" w:color="auto" w:fill="FFFFFF"/>
        </w:rPr>
        <w:t>,</w:t>
      </w:r>
      <w:r w:rsidRPr="00C562D6">
        <w:rPr>
          <w:rFonts w:ascii="Times New Roman" w:hAnsi="Times New Roman" w:cs="Times New Roman"/>
          <w:szCs w:val="24"/>
          <w:shd w:val="clear" w:color="auto" w:fill="FFFFFF"/>
        </w:rPr>
        <w:t xml:space="preserve"> using the figures in the NAO report</w:t>
      </w:r>
      <w:r w:rsidR="00ED077A" w:rsidRPr="00C562D6">
        <w:rPr>
          <w:rFonts w:ascii="Times New Roman" w:hAnsi="Times New Roman" w:cs="Times New Roman"/>
          <w:szCs w:val="24"/>
          <w:shd w:val="clear" w:color="auto" w:fill="FFFFFF"/>
        </w:rPr>
        <w:t>,</w:t>
      </w:r>
      <w:r w:rsidRPr="00C562D6">
        <w:rPr>
          <w:rFonts w:ascii="Times New Roman" w:hAnsi="Times New Roman" w:cs="Times New Roman"/>
          <w:szCs w:val="24"/>
          <w:shd w:val="clear" w:color="auto" w:fill="FFFFFF"/>
        </w:rPr>
        <w:t xml:space="preserve"> the</w:t>
      </w:r>
      <w:r w:rsidR="005615C7" w:rsidRPr="00C562D6">
        <w:rPr>
          <w:rFonts w:ascii="Times New Roman" w:hAnsi="Times New Roman" w:cs="Times New Roman"/>
          <w:szCs w:val="24"/>
          <w:shd w:val="clear" w:color="auto" w:fill="FFFFFF"/>
        </w:rPr>
        <w:t xml:space="preserve"> average</w:t>
      </w:r>
      <w:r w:rsidRPr="00C562D6">
        <w:rPr>
          <w:rFonts w:ascii="Times New Roman" w:hAnsi="Times New Roman" w:cs="Times New Roman"/>
          <w:szCs w:val="24"/>
          <w:shd w:val="clear" w:color="auto" w:fill="FFFFFF"/>
        </w:rPr>
        <w:t xml:space="preserve"> public funding grant </w:t>
      </w:r>
      <w:r w:rsidR="00703815" w:rsidRPr="00C562D6">
        <w:rPr>
          <w:rFonts w:ascii="Times New Roman" w:hAnsi="Times New Roman" w:cs="Times New Roman"/>
          <w:szCs w:val="24"/>
          <w:shd w:val="clear" w:color="auto" w:fill="FFFFFF"/>
        </w:rPr>
        <w:t>is</w:t>
      </w:r>
      <w:r w:rsidRPr="00C562D6">
        <w:rPr>
          <w:rFonts w:ascii="Times New Roman" w:hAnsi="Times New Roman" w:cs="Times New Roman"/>
          <w:szCs w:val="24"/>
          <w:shd w:val="clear" w:color="auto" w:fill="FFFFFF"/>
        </w:rPr>
        <w:t xml:space="preserve"> £20,000 per home and borrowing supported from the new rents will be £75,000. Significantly, another £46,000 comes from ‘other funding’. This represents an increase of £12,000 per home on the previous programme. The total scheme cost of £141,000 per home is also £14,000 lower than under the previous programme. These </w:t>
      </w:r>
      <w:r w:rsidR="00442675" w:rsidRPr="00C562D6">
        <w:rPr>
          <w:rFonts w:ascii="Times New Roman" w:hAnsi="Times New Roman" w:cs="Times New Roman"/>
          <w:szCs w:val="24"/>
          <w:shd w:val="clear" w:color="auto" w:fill="FFFFFF"/>
        </w:rPr>
        <w:t>figures led one commentator to question: ‘</w:t>
      </w:r>
      <w:r w:rsidRPr="00C562D6">
        <w:rPr>
          <w:rFonts w:ascii="Times New Roman" w:hAnsi="Times New Roman" w:cs="Times New Roman"/>
          <w:szCs w:val="24"/>
          <w:shd w:val="clear" w:color="auto" w:fill="FFFFFF"/>
        </w:rPr>
        <w:t>So the programme relies more on other funding and a reduction in the total cost per home than it does on grant. Is that repeatable?</w:t>
      </w:r>
      <w:r w:rsidR="00442675" w:rsidRPr="00C562D6">
        <w:rPr>
          <w:rFonts w:ascii="Times New Roman" w:hAnsi="Times New Roman" w:cs="Times New Roman"/>
          <w:szCs w:val="24"/>
          <w:shd w:val="clear" w:color="auto" w:fill="FFFFFF"/>
        </w:rPr>
        <w:t>’</w:t>
      </w:r>
      <w:r w:rsidR="00ED077A" w:rsidRPr="00C562D6">
        <w:rPr>
          <w:rFonts w:ascii="Times New Roman" w:hAnsi="Times New Roman" w:cs="Times New Roman"/>
          <w:szCs w:val="24"/>
          <w:shd w:val="clear" w:color="auto" w:fill="FFFFFF"/>
        </w:rPr>
        <w:t xml:space="preserve"> </w:t>
      </w:r>
      <w:proofErr w:type="gramStart"/>
      <w:r w:rsidR="00ED077A" w:rsidRPr="00C562D6">
        <w:rPr>
          <w:rFonts w:ascii="Times New Roman" w:hAnsi="Times New Roman" w:cs="Times New Roman"/>
          <w:szCs w:val="24"/>
          <w:shd w:val="clear" w:color="auto" w:fill="FFFFFF"/>
        </w:rPr>
        <w:t>(Birch, 2012).</w:t>
      </w:r>
      <w:proofErr w:type="gramEnd"/>
    </w:p>
    <w:p w:rsidR="00B54A60" w:rsidRPr="00C562D6" w:rsidRDefault="00AC173F" w:rsidP="00060A0D">
      <w:pPr>
        <w:spacing w:line="480" w:lineRule="auto"/>
        <w:jc w:val="both"/>
        <w:rPr>
          <w:rFonts w:ascii="Times New Roman" w:hAnsi="Times New Roman" w:cs="Times New Roman"/>
          <w:szCs w:val="24"/>
        </w:rPr>
      </w:pPr>
      <w:r w:rsidRPr="00C562D6">
        <w:rPr>
          <w:rFonts w:ascii="Times New Roman" w:hAnsi="Times New Roman" w:cs="Times New Roman"/>
          <w:szCs w:val="24"/>
        </w:rPr>
        <w:t>It is expected that half of the necessary funding is going to come from borrowing by housing providers, some £6 billion.</w:t>
      </w:r>
      <w:r w:rsidR="00505474" w:rsidRPr="00C562D6">
        <w:rPr>
          <w:rFonts w:ascii="Times New Roman" w:hAnsi="Times New Roman" w:cs="Times New Roman"/>
          <w:szCs w:val="24"/>
        </w:rPr>
        <w:t xml:space="preserve"> </w:t>
      </w:r>
      <w:r w:rsidR="005615C7" w:rsidRPr="00C562D6">
        <w:rPr>
          <w:rFonts w:ascii="Times New Roman" w:hAnsi="Times New Roman" w:cs="Times New Roman"/>
          <w:szCs w:val="24"/>
        </w:rPr>
        <w:t>This le</w:t>
      </w:r>
      <w:r w:rsidR="00505474" w:rsidRPr="00C562D6">
        <w:rPr>
          <w:rFonts w:ascii="Times New Roman" w:hAnsi="Times New Roman" w:cs="Times New Roman"/>
          <w:szCs w:val="24"/>
        </w:rPr>
        <w:t xml:space="preserve">d the NAO to comment that ‘the Programme requires providers to take on increased borrowing, as well as other risk, for example committing to deliver housing over the whole of the period of the Programme at a fixed price, rather than agreeing commitments on a site by site basis’. These risks for all stakeholders </w:t>
      </w:r>
      <w:r w:rsidR="005615C7" w:rsidRPr="00C562D6">
        <w:rPr>
          <w:rFonts w:ascii="Times New Roman" w:hAnsi="Times New Roman" w:cs="Times New Roman"/>
          <w:szCs w:val="24"/>
        </w:rPr>
        <w:t xml:space="preserve">involved </w:t>
      </w:r>
      <w:r w:rsidR="00505474" w:rsidRPr="00C562D6">
        <w:rPr>
          <w:rFonts w:ascii="Times New Roman" w:hAnsi="Times New Roman" w:cs="Times New Roman"/>
          <w:szCs w:val="24"/>
        </w:rPr>
        <w:t xml:space="preserve">are summarised in </w:t>
      </w:r>
      <w:r w:rsidR="00505474" w:rsidRPr="00C562D6">
        <w:rPr>
          <w:rFonts w:ascii="Times New Roman" w:hAnsi="Times New Roman" w:cs="Times New Roman"/>
          <w:i/>
          <w:szCs w:val="24"/>
        </w:rPr>
        <w:t>Figure 1</w:t>
      </w:r>
      <w:r w:rsidR="00ED077A" w:rsidRPr="00C562D6">
        <w:rPr>
          <w:rFonts w:ascii="Times New Roman" w:hAnsi="Times New Roman" w:cs="Times New Roman"/>
          <w:i/>
          <w:szCs w:val="24"/>
        </w:rPr>
        <w:t xml:space="preserve"> </w:t>
      </w:r>
      <w:r w:rsidR="00ED077A" w:rsidRPr="00C562D6">
        <w:rPr>
          <w:rFonts w:ascii="Times New Roman" w:hAnsi="Times New Roman" w:cs="Times New Roman"/>
          <w:szCs w:val="24"/>
        </w:rPr>
        <w:t>(NAO, 2012: 14)</w:t>
      </w:r>
      <w:r w:rsidR="00505474" w:rsidRPr="00C562D6">
        <w:rPr>
          <w:rFonts w:ascii="Times New Roman" w:hAnsi="Times New Roman" w:cs="Times New Roman"/>
          <w:szCs w:val="24"/>
        </w:rPr>
        <w:t>.</w:t>
      </w:r>
    </w:p>
    <w:p w:rsidR="00505474" w:rsidRPr="00C562D6" w:rsidRDefault="00505474" w:rsidP="00060A0D">
      <w:pPr>
        <w:spacing w:before="240" w:line="480" w:lineRule="auto"/>
        <w:jc w:val="both"/>
        <w:rPr>
          <w:rFonts w:ascii="Times New Roman" w:hAnsi="Times New Roman" w:cs="Times New Roman"/>
          <w:i/>
          <w:szCs w:val="24"/>
        </w:rPr>
      </w:pPr>
      <w:r w:rsidRPr="00C562D6">
        <w:rPr>
          <w:rFonts w:ascii="Times New Roman" w:hAnsi="Times New Roman" w:cs="Times New Roman"/>
          <w:i/>
          <w:szCs w:val="24"/>
        </w:rPr>
        <w:t>Figure 1</w:t>
      </w:r>
    </w:p>
    <w:p w:rsidR="00505474" w:rsidRPr="00C562D6" w:rsidRDefault="00505474" w:rsidP="00060A0D">
      <w:pPr>
        <w:spacing w:line="480" w:lineRule="auto"/>
        <w:jc w:val="both"/>
        <w:rPr>
          <w:rFonts w:ascii="Times New Roman" w:hAnsi="Times New Roman" w:cs="Times New Roman"/>
          <w:szCs w:val="24"/>
        </w:rPr>
      </w:pPr>
      <w:r w:rsidRPr="00C562D6">
        <w:rPr>
          <w:rFonts w:ascii="Times New Roman" w:hAnsi="Times New Roman" w:cs="Times New Roman"/>
          <w:noProof/>
          <w:szCs w:val="24"/>
          <w:lang w:val="en-GB" w:eastAsia="en-GB"/>
        </w:rPr>
        <w:lastRenderedPageBreak/>
        <w:drawing>
          <wp:inline distT="0" distB="0" distL="0" distR="0" wp14:anchorId="6DFA98B7" wp14:editId="41C1845A">
            <wp:extent cx="5731510" cy="4634352"/>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31510" cy="4634352"/>
                    </a:xfrm>
                    <a:prstGeom prst="rect">
                      <a:avLst/>
                    </a:prstGeom>
                    <a:noFill/>
                    <a:ln w="9525">
                      <a:noFill/>
                      <a:miter lim="800000"/>
                      <a:headEnd/>
                      <a:tailEnd/>
                    </a:ln>
                  </pic:spPr>
                </pic:pic>
              </a:graphicData>
            </a:graphic>
          </wp:inline>
        </w:drawing>
      </w:r>
    </w:p>
    <w:p w:rsidR="00B54A60" w:rsidRPr="00C562D6" w:rsidRDefault="00B54A60" w:rsidP="00060A0D">
      <w:pPr>
        <w:spacing w:line="480" w:lineRule="auto"/>
        <w:jc w:val="both"/>
        <w:rPr>
          <w:rFonts w:ascii="Times New Roman" w:hAnsi="Times New Roman" w:cs="Times New Roman"/>
          <w:szCs w:val="24"/>
        </w:rPr>
      </w:pPr>
    </w:p>
    <w:p w:rsidR="00D92D03" w:rsidRPr="00C562D6" w:rsidRDefault="005615C7" w:rsidP="00060A0D">
      <w:pPr>
        <w:spacing w:after="200" w:line="480" w:lineRule="auto"/>
        <w:jc w:val="both"/>
        <w:rPr>
          <w:rFonts w:ascii="Times New Roman" w:hAnsi="Times New Roman" w:cs="Times New Roman"/>
          <w:szCs w:val="24"/>
          <w:shd w:val="clear" w:color="auto" w:fill="FFFFFF"/>
        </w:rPr>
      </w:pPr>
      <w:r w:rsidRPr="00C562D6">
        <w:rPr>
          <w:rFonts w:ascii="Times New Roman" w:hAnsi="Times New Roman" w:cs="Times New Roman"/>
          <w:szCs w:val="24"/>
          <w:shd w:val="clear" w:color="auto" w:fill="FFFFFF"/>
        </w:rPr>
        <w:t>Despite the NAO’s broadly positive assessment of the design of the AHP a number of concerns have been identified both the NAO and housing commentators.</w:t>
      </w:r>
      <w:r w:rsidR="00E20555" w:rsidRPr="00C562D6">
        <w:rPr>
          <w:rFonts w:ascii="Times New Roman" w:hAnsi="Times New Roman" w:cs="Times New Roman"/>
          <w:szCs w:val="24"/>
          <w:shd w:val="clear" w:color="auto" w:fill="FFFFFF"/>
        </w:rPr>
        <w:t xml:space="preserve"> These include</w:t>
      </w:r>
      <w:r w:rsidR="00D92D03" w:rsidRPr="00C562D6">
        <w:rPr>
          <w:rFonts w:ascii="Times New Roman" w:hAnsi="Times New Roman" w:cs="Times New Roman"/>
          <w:szCs w:val="24"/>
          <w:shd w:val="clear" w:color="auto" w:fill="FFFFFF"/>
        </w:rPr>
        <w:t>, first</w:t>
      </w:r>
      <w:r w:rsidR="00E20555" w:rsidRPr="00C562D6">
        <w:rPr>
          <w:rFonts w:ascii="Times New Roman" w:hAnsi="Times New Roman" w:cs="Times New Roman"/>
          <w:szCs w:val="24"/>
          <w:shd w:val="clear" w:color="auto" w:fill="FFFFFF"/>
        </w:rPr>
        <w:t xml:space="preserve"> the NAO identify that using economic benefit to government cost ratio</w:t>
      </w:r>
      <w:r w:rsidR="00ED077A" w:rsidRPr="00C562D6">
        <w:rPr>
          <w:rFonts w:ascii="Times New Roman" w:hAnsi="Times New Roman" w:cs="Times New Roman"/>
          <w:szCs w:val="24"/>
          <w:shd w:val="clear" w:color="auto" w:fill="FFFFFF"/>
        </w:rPr>
        <w:t>,</w:t>
      </w:r>
      <w:r w:rsidR="00E20555" w:rsidRPr="00C562D6">
        <w:rPr>
          <w:rFonts w:ascii="Times New Roman" w:hAnsi="Times New Roman" w:cs="Times New Roman"/>
          <w:szCs w:val="24"/>
          <w:shd w:val="clear" w:color="auto" w:fill="FFFFFF"/>
        </w:rPr>
        <w:t xml:space="preserve"> the previous NAHP</w:t>
      </w:r>
      <w:r w:rsidR="00D92D03" w:rsidRPr="00C562D6">
        <w:rPr>
          <w:rFonts w:ascii="Times New Roman" w:hAnsi="Times New Roman" w:cs="Times New Roman"/>
          <w:szCs w:val="24"/>
          <w:shd w:val="clear" w:color="auto" w:fill="FFFFFF"/>
        </w:rPr>
        <w:t xml:space="preserve"> (based in the main on delivering homes at a social rented level) provides better value for money than the current AHP 2011-15</w:t>
      </w:r>
      <w:r w:rsidR="00ED077A" w:rsidRPr="00C562D6">
        <w:rPr>
          <w:rFonts w:ascii="Times New Roman" w:hAnsi="Times New Roman" w:cs="Times New Roman"/>
          <w:szCs w:val="24"/>
          <w:shd w:val="clear" w:color="auto" w:fill="FFFFFF"/>
        </w:rPr>
        <w:t xml:space="preserve"> (NAO, 2012: 19)</w:t>
      </w:r>
      <w:r w:rsidR="00D92D03" w:rsidRPr="00C562D6">
        <w:rPr>
          <w:rStyle w:val="FootnoteReference"/>
          <w:rFonts w:ascii="Times New Roman" w:hAnsi="Times New Roman" w:cs="Times New Roman"/>
          <w:szCs w:val="24"/>
          <w:shd w:val="clear" w:color="auto" w:fill="FFFFFF"/>
        </w:rPr>
        <w:footnoteReference w:id="12"/>
      </w:r>
      <w:r w:rsidR="00D92D03" w:rsidRPr="00C562D6">
        <w:rPr>
          <w:rFonts w:ascii="Times New Roman" w:hAnsi="Times New Roman" w:cs="Times New Roman"/>
          <w:szCs w:val="24"/>
          <w:shd w:val="clear" w:color="auto" w:fill="FFFFFF"/>
        </w:rPr>
        <w:t xml:space="preserve">. </w:t>
      </w:r>
    </w:p>
    <w:p w:rsidR="00505474" w:rsidRPr="00C562D6" w:rsidRDefault="00D92D03" w:rsidP="00060A0D">
      <w:pPr>
        <w:spacing w:after="200" w:line="480" w:lineRule="auto"/>
        <w:jc w:val="both"/>
        <w:rPr>
          <w:rFonts w:ascii="Times New Roman" w:hAnsi="Times New Roman" w:cs="Times New Roman"/>
          <w:szCs w:val="24"/>
          <w:shd w:val="clear" w:color="auto" w:fill="FFFFFF"/>
        </w:rPr>
      </w:pPr>
      <w:r w:rsidRPr="00C562D6">
        <w:rPr>
          <w:rFonts w:ascii="Times New Roman" w:hAnsi="Times New Roman" w:cs="Times New Roman"/>
          <w:szCs w:val="24"/>
          <w:shd w:val="clear" w:color="auto" w:fill="FFFFFF"/>
        </w:rPr>
        <w:t xml:space="preserve">Second, the delivery of completed homes is heavily skewed towards the end of the programme. </w:t>
      </w:r>
      <w:proofErr w:type="gramStart"/>
      <w:r w:rsidRPr="00C562D6">
        <w:rPr>
          <w:rFonts w:ascii="Times New Roman" w:hAnsi="Times New Roman" w:cs="Times New Roman"/>
          <w:szCs w:val="24"/>
          <w:shd w:val="clear" w:color="auto" w:fill="FFFFFF"/>
        </w:rPr>
        <w:t>So that by April 2012</w:t>
      </w:r>
      <w:r w:rsidR="00CC57E7" w:rsidRPr="00C562D6">
        <w:rPr>
          <w:rFonts w:ascii="Times New Roman" w:hAnsi="Times New Roman" w:cs="Times New Roman"/>
          <w:szCs w:val="24"/>
          <w:shd w:val="clear" w:color="auto" w:fill="FFFFFF"/>
        </w:rPr>
        <w:t>,</w:t>
      </w:r>
      <w:r w:rsidRPr="00C562D6">
        <w:rPr>
          <w:rFonts w:ascii="Times New Roman" w:hAnsi="Times New Roman" w:cs="Times New Roman"/>
          <w:szCs w:val="24"/>
          <w:shd w:val="clear" w:color="auto" w:fill="FFFFFF"/>
        </w:rPr>
        <w:t xml:space="preserve"> 18 per cent of contracts had not yet been signed and over half of the homes are planned for the last year of the programme</w:t>
      </w:r>
      <w:r w:rsidR="00166923" w:rsidRPr="00C562D6">
        <w:rPr>
          <w:rFonts w:ascii="Times New Roman" w:hAnsi="Times New Roman" w:cs="Times New Roman"/>
          <w:szCs w:val="24"/>
          <w:shd w:val="clear" w:color="auto" w:fill="FFFFFF"/>
        </w:rPr>
        <w:t xml:space="preserve"> (Birch, 2012)</w:t>
      </w:r>
      <w:r w:rsidRPr="00C562D6">
        <w:rPr>
          <w:rFonts w:ascii="Times New Roman" w:hAnsi="Times New Roman" w:cs="Times New Roman"/>
          <w:szCs w:val="24"/>
          <w:shd w:val="clear" w:color="auto" w:fill="FFFFFF"/>
        </w:rPr>
        <w:t>.</w:t>
      </w:r>
      <w:proofErr w:type="gramEnd"/>
      <w:r w:rsidRPr="00C562D6">
        <w:rPr>
          <w:rFonts w:ascii="Times New Roman" w:hAnsi="Times New Roman" w:cs="Times New Roman"/>
          <w:szCs w:val="24"/>
          <w:shd w:val="clear" w:color="auto" w:fill="FFFFFF"/>
        </w:rPr>
        <w:t xml:space="preserve"> Third as </w:t>
      </w:r>
      <w:r w:rsidRPr="00C562D6">
        <w:rPr>
          <w:rFonts w:ascii="Times New Roman" w:hAnsi="Times New Roman" w:cs="Times New Roman"/>
          <w:szCs w:val="24"/>
          <w:shd w:val="clear" w:color="auto" w:fill="FFFFFF"/>
        </w:rPr>
        <w:lastRenderedPageBreak/>
        <w:t xml:space="preserve">outlined above there are very strong concerns that the government is merely shifting support for social housing from the DCLG budget to the DWP as </w:t>
      </w:r>
      <w:r w:rsidR="00957054" w:rsidRPr="00C562D6">
        <w:rPr>
          <w:rFonts w:ascii="Times New Roman" w:hAnsi="Times New Roman" w:cs="Times New Roman"/>
          <w:szCs w:val="24"/>
          <w:shd w:val="clear" w:color="auto" w:fill="FFFFFF"/>
        </w:rPr>
        <w:t>the housing benefit system takes the strain of the new Affordable Rent levels. The increase in housing benefit as a result of the Affordable Rents model varies in estimate from as little as £25-50 million to £1.2 billion or even £1.5 billion</w:t>
      </w:r>
      <w:r w:rsidR="00166923" w:rsidRPr="00C562D6">
        <w:rPr>
          <w:rFonts w:ascii="Times New Roman" w:hAnsi="Times New Roman" w:cs="Times New Roman"/>
          <w:szCs w:val="24"/>
          <w:shd w:val="clear" w:color="auto" w:fill="FFFFFF"/>
        </w:rPr>
        <w:t xml:space="preserve"> (Birch, 2011)</w:t>
      </w:r>
      <w:r w:rsidR="00957054" w:rsidRPr="00C562D6">
        <w:rPr>
          <w:rFonts w:ascii="Times New Roman" w:hAnsi="Times New Roman" w:cs="Times New Roman"/>
          <w:szCs w:val="24"/>
          <w:shd w:val="clear" w:color="auto" w:fill="FFFFFF"/>
        </w:rPr>
        <w:t>.</w:t>
      </w:r>
    </w:p>
    <w:p w:rsidR="00D30EE2" w:rsidRPr="00C562D6" w:rsidRDefault="00D30EE2" w:rsidP="00060A0D">
      <w:pPr>
        <w:spacing w:after="200" w:line="480" w:lineRule="auto"/>
        <w:jc w:val="both"/>
        <w:rPr>
          <w:rFonts w:ascii="Times New Roman" w:hAnsi="Times New Roman" w:cs="Times New Roman"/>
          <w:color w:val="FF0000"/>
          <w:szCs w:val="24"/>
          <w:shd w:val="clear" w:color="auto" w:fill="FFFFFF"/>
          <w:lang w:val="en-GB"/>
        </w:rPr>
      </w:pPr>
      <w:r w:rsidRPr="00C562D6">
        <w:rPr>
          <w:rFonts w:ascii="Times New Roman" w:hAnsi="Times New Roman" w:cs="Times New Roman"/>
          <w:szCs w:val="24"/>
          <w:shd w:val="clear" w:color="auto" w:fill="FFFFFF"/>
          <w:lang w:val="en-GB"/>
        </w:rPr>
        <w:t xml:space="preserve">In 2012, the government announced the Affordable Homes Guarantees Programme (AHGP), as part of </w:t>
      </w:r>
      <w:r w:rsidR="00D26244" w:rsidRPr="00C562D6">
        <w:rPr>
          <w:rFonts w:ascii="Times New Roman" w:hAnsi="Times New Roman" w:cs="Times New Roman"/>
          <w:szCs w:val="24"/>
          <w:shd w:val="clear" w:color="auto" w:fill="FFFFFF"/>
          <w:lang w:val="en-GB"/>
        </w:rPr>
        <w:t>a</w:t>
      </w:r>
      <w:r w:rsidRPr="00C562D6">
        <w:rPr>
          <w:rFonts w:ascii="Times New Roman" w:hAnsi="Times New Roman" w:cs="Times New Roman"/>
          <w:szCs w:val="24"/>
          <w:shd w:val="clear" w:color="auto" w:fill="FFFFFF"/>
          <w:lang w:val="en-GB"/>
        </w:rPr>
        <w:t xml:space="preserve"> broader </w:t>
      </w:r>
      <w:r w:rsidR="00D26244" w:rsidRPr="00C562D6">
        <w:rPr>
          <w:rFonts w:ascii="Times New Roman" w:hAnsi="Times New Roman" w:cs="Times New Roman"/>
          <w:szCs w:val="24"/>
          <w:shd w:val="clear" w:color="auto" w:fill="FFFFFF"/>
          <w:lang w:val="en-GB"/>
        </w:rPr>
        <w:t>h</w:t>
      </w:r>
      <w:r w:rsidRPr="00C562D6">
        <w:rPr>
          <w:rFonts w:ascii="Times New Roman" w:hAnsi="Times New Roman" w:cs="Times New Roman"/>
          <w:szCs w:val="24"/>
          <w:shd w:val="clear" w:color="auto" w:fill="FFFFFF"/>
          <w:lang w:val="en-GB"/>
        </w:rPr>
        <w:t xml:space="preserve">ousing </w:t>
      </w:r>
      <w:r w:rsidR="00D26244" w:rsidRPr="00C562D6">
        <w:rPr>
          <w:rFonts w:ascii="Times New Roman" w:hAnsi="Times New Roman" w:cs="Times New Roman"/>
          <w:szCs w:val="24"/>
          <w:shd w:val="clear" w:color="auto" w:fill="FFFFFF"/>
          <w:lang w:val="en-GB"/>
        </w:rPr>
        <w:t>s</w:t>
      </w:r>
      <w:r w:rsidRPr="00C562D6">
        <w:rPr>
          <w:rFonts w:ascii="Times New Roman" w:hAnsi="Times New Roman" w:cs="Times New Roman"/>
          <w:szCs w:val="24"/>
          <w:shd w:val="clear" w:color="auto" w:fill="FFFFFF"/>
          <w:lang w:val="en-GB"/>
        </w:rPr>
        <w:t>timulus</w:t>
      </w:r>
      <w:r w:rsidR="00D26244" w:rsidRPr="00C562D6">
        <w:rPr>
          <w:rFonts w:ascii="Times New Roman" w:hAnsi="Times New Roman" w:cs="Times New Roman"/>
          <w:szCs w:val="24"/>
          <w:shd w:val="clear" w:color="auto" w:fill="FFFFFF"/>
          <w:lang w:val="en-GB"/>
        </w:rPr>
        <w:t xml:space="preserve"> package</w:t>
      </w:r>
      <w:r w:rsidRPr="00C562D6">
        <w:rPr>
          <w:rFonts w:ascii="Times New Roman" w:hAnsi="Times New Roman" w:cs="Times New Roman"/>
          <w:szCs w:val="24"/>
          <w:shd w:val="clear" w:color="auto" w:fill="FFFFFF"/>
          <w:lang w:val="en-GB"/>
        </w:rPr>
        <w:t>. The programme aims to</w:t>
      </w:r>
      <w:r w:rsidR="003E28B6" w:rsidRPr="00C562D6">
        <w:rPr>
          <w:rFonts w:ascii="Times New Roman" w:hAnsi="Times New Roman" w:cs="Times New Roman"/>
          <w:szCs w:val="24"/>
          <w:shd w:val="clear" w:color="auto" w:fill="FFFFFF"/>
          <w:lang w:val="en-GB"/>
        </w:rPr>
        <w:t xml:space="preserve"> provide guarantees </w:t>
      </w:r>
      <w:r w:rsidRPr="00C562D6">
        <w:rPr>
          <w:rFonts w:ascii="Times New Roman" w:hAnsi="Times New Roman" w:cs="Times New Roman"/>
          <w:szCs w:val="24"/>
          <w:shd w:val="clear" w:color="auto" w:fill="FFFFFF"/>
          <w:lang w:val="en-GB"/>
        </w:rPr>
        <w:t>for housing associations and private</w:t>
      </w:r>
      <w:r w:rsidR="003E28B6" w:rsidRPr="00C562D6">
        <w:rPr>
          <w:rFonts w:ascii="Times New Roman" w:hAnsi="Times New Roman" w:cs="Times New Roman"/>
          <w:szCs w:val="24"/>
          <w:shd w:val="clear" w:color="auto" w:fill="FFFFFF"/>
          <w:lang w:val="en-GB"/>
        </w:rPr>
        <w:t xml:space="preserve"> </w:t>
      </w:r>
      <w:r w:rsidRPr="00C562D6">
        <w:rPr>
          <w:rFonts w:ascii="Times New Roman" w:hAnsi="Times New Roman" w:cs="Times New Roman"/>
          <w:szCs w:val="24"/>
          <w:shd w:val="clear" w:color="auto" w:fill="FFFFFF"/>
          <w:lang w:val="en-GB"/>
        </w:rPr>
        <w:t xml:space="preserve">sector developers to reduce the cost of </w:t>
      </w:r>
      <w:r w:rsidR="003E28B6" w:rsidRPr="00C562D6">
        <w:rPr>
          <w:rFonts w:ascii="Times New Roman" w:hAnsi="Times New Roman" w:cs="Times New Roman"/>
          <w:szCs w:val="24"/>
          <w:shd w:val="clear" w:color="auto" w:fill="FFFFFF"/>
          <w:lang w:val="en-GB"/>
        </w:rPr>
        <w:t>borrowing</w:t>
      </w:r>
      <w:r w:rsidRPr="00C562D6">
        <w:rPr>
          <w:rFonts w:ascii="Times New Roman" w:hAnsi="Times New Roman" w:cs="Times New Roman"/>
          <w:szCs w:val="24"/>
          <w:shd w:val="clear" w:color="auto" w:fill="FFFFFF"/>
          <w:lang w:val="en-GB"/>
        </w:rPr>
        <w:t xml:space="preserve"> </w:t>
      </w:r>
      <w:r w:rsidR="003E28B6" w:rsidRPr="00C562D6">
        <w:rPr>
          <w:rFonts w:ascii="Times New Roman" w:hAnsi="Times New Roman" w:cs="Times New Roman"/>
          <w:szCs w:val="24"/>
          <w:shd w:val="clear" w:color="auto" w:fill="FFFFFF"/>
          <w:lang w:val="en-GB"/>
        </w:rPr>
        <w:t>to build affordable homes schemes</w:t>
      </w:r>
      <w:r w:rsidRPr="00C562D6">
        <w:rPr>
          <w:rFonts w:ascii="Times New Roman" w:hAnsi="Times New Roman" w:cs="Times New Roman"/>
          <w:szCs w:val="24"/>
          <w:shd w:val="clear" w:color="auto" w:fill="FFFFFF"/>
          <w:lang w:val="en-GB"/>
        </w:rPr>
        <w:t>. The</w:t>
      </w:r>
      <w:r w:rsidR="003E28B6" w:rsidRPr="00C562D6">
        <w:rPr>
          <w:rFonts w:ascii="Times New Roman" w:hAnsi="Times New Roman" w:cs="Times New Roman"/>
          <w:szCs w:val="24"/>
          <w:shd w:val="clear" w:color="auto" w:fill="FFFFFF"/>
          <w:lang w:val="en-GB"/>
        </w:rPr>
        <w:t xml:space="preserve"> government aims to cover £10 billion in borrowing and coupled with an additional £225 million in grant funding the programme aims to deliver 15,000 homes, in addition to the exiting AHP</w:t>
      </w:r>
      <w:r w:rsidR="003E28B6" w:rsidRPr="00C562D6">
        <w:rPr>
          <w:rFonts w:ascii="Times New Roman" w:hAnsi="Times New Roman" w:cs="Times New Roman"/>
          <w:color w:val="FF0000"/>
          <w:szCs w:val="24"/>
          <w:shd w:val="clear" w:color="auto" w:fill="FFFFFF"/>
          <w:lang w:val="en-GB"/>
        </w:rPr>
        <w:t>.</w:t>
      </w:r>
    </w:p>
    <w:p w:rsidR="00D30EE2" w:rsidRPr="00C562D6" w:rsidRDefault="00D30EE2" w:rsidP="00060A0D">
      <w:pPr>
        <w:spacing w:after="200" w:line="480" w:lineRule="auto"/>
        <w:jc w:val="both"/>
        <w:rPr>
          <w:rFonts w:ascii="Times New Roman" w:hAnsi="Times New Roman" w:cs="Times New Roman"/>
          <w:szCs w:val="24"/>
          <w:shd w:val="clear" w:color="auto" w:fill="FFFFFF"/>
          <w:lang w:val="en-GB"/>
        </w:rPr>
      </w:pPr>
      <w:r w:rsidRPr="00C562D6">
        <w:rPr>
          <w:rFonts w:ascii="Times New Roman" w:hAnsi="Times New Roman" w:cs="Times New Roman"/>
          <w:szCs w:val="24"/>
          <w:shd w:val="clear" w:color="auto" w:fill="FFFFFF"/>
          <w:lang w:val="en-GB"/>
        </w:rPr>
        <w:t>The homes must be at Affordable Rent or for affordable</w:t>
      </w:r>
      <w:r w:rsidR="003E28B6" w:rsidRPr="00C562D6">
        <w:rPr>
          <w:rFonts w:ascii="Times New Roman" w:hAnsi="Times New Roman" w:cs="Times New Roman"/>
          <w:szCs w:val="24"/>
          <w:shd w:val="clear" w:color="auto" w:fill="FFFFFF"/>
          <w:lang w:val="en-GB"/>
        </w:rPr>
        <w:t xml:space="preserve"> </w:t>
      </w:r>
      <w:r w:rsidRPr="00C562D6">
        <w:rPr>
          <w:rFonts w:ascii="Times New Roman" w:hAnsi="Times New Roman" w:cs="Times New Roman"/>
          <w:szCs w:val="24"/>
          <w:shd w:val="clear" w:color="auto" w:fill="FFFFFF"/>
          <w:lang w:val="en-GB"/>
        </w:rPr>
        <w:t>homeownership. Additional funding of £225 million is available to support the</w:t>
      </w:r>
      <w:r w:rsidR="003E28B6" w:rsidRPr="00C562D6">
        <w:rPr>
          <w:rFonts w:ascii="Times New Roman" w:hAnsi="Times New Roman" w:cs="Times New Roman"/>
          <w:szCs w:val="24"/>
          <w:shd w:val="clear" w:color="auto" w:fill="FFFFFF"/>
          <w:lang w:val="en-GB"/>
        </w:rPr>
        <w:t xml:space="preserve"> </w:t>
      </w:r>
      <w:r w:rsidRPr="00C562D6">
        <w:rPr>
          <w:rFonts w:ascii="Times New Roman" w:hAnsi="Times New Roman" w:cs="Times New Roman"/>
          <w:szCs w:val="24"/>
          <w:shd w:val="clear" w:color="auto" w:fill="FFFFFF"/>
          <w:lang w:val="en-GB"/>
        </w:rPr>
        <w:t xml:space="preserve">programme through grant. </w:t>
      </w:r>
      <w:r w:rsidR="003E28B6" w:rsidRPr="00C562D6">
        <w:rPr>
          <w:rFonts w:ascii="Times New Roman" w:hAnsi="Times New Roman" w:cs="Times New Roman"/>
          <w:szCs w:val="24"/>
          <w:shd w:val="clear" w:color="auto" w:fill="FFFFFF"/>
          <w:lang w:val="en-GB"/>
        </w:rPr>
        <w:t>To the start of 2014, ‘</w:t>
      </w:r>
      <w:r w:rsidRPr="00C562D6">
        <w:rPr>
          <w:rFonts w:ascii="Times New Roman" w:hAnsi="Times New Roman" w:cs="Times New Roman"/>
          <w:szCs w:val="24"/>
          <w:shd w:val="clear" w:color="auto" w:fill="FFFFFF"/>
          <w:lang w:val="en-GB"/>
        </w:rPr>
        <w:t>£220 million of this has been allocated by the</w:t>
      </w:r>
      <w:r w:rsidR="003E28B6" w:rsidRPr="00C562D6">
        <w:rPr>
          <w:rFonts w:ascii="Times New Roman" w:hAnsi="Times New Roman" w:cs="Times New Roman"/>
          <w:szCs w:val="24"/>
          <w:shd w:val="clear" w:color="auto" w:fill="FFFFFF"/>
          <w:lang w:val="en-GB"/>
        </w:rPr>
        <w:t xml:space="preserve"> </w:t>
      </w:r>
      <w:r w:rsidRPr="00C562D6">
        <w:rPr>
          <w:rFonts w:ascii="Times New Roman" w:hAnsi="Times New Roman" w:cs="Times New Roman"/>
          <w:szCs w:val="24"/>
          <w:shd w:val="clear" w:color="auto" w:fill="FFFFFF"/>
          <w:lang w:val="en-GB"/>
        </w:rPr>
        <w:t>HCA to provide 13,896 extra units, an average of £15,800 per unit (however, if the</w:t>
      </w:r>
      <w:r w:rsidR="003E28B6" w:rsidRPr="00C562D6">
        <w:rPr>
          <w:rFonts w:ascii="Times New Roman" w:hAnsi="Times New Roman" w:cs="Times New Roman"/>
          <w:szCs w:val="24"/>
          <w:shd w:val="clear" w:color="auto" w:fill="FFFFFF"/>
          <w:lang w:val="en-GB"/>
        </w:rPr>
        <w:t xml:space="preserve"> </w:t>
      </w:r>
      <w:r w:rsidRPr="00C562D6">
        <w:rPr>
          <w:rFonts w:ascii="Times New Roman" w:hAnsi="Times New Roman" w:cs="Times New Roman"/>
          <w:szCs w:val="24"/>
          <w:shd w:val="clear" w:color="auto" w:fill="FFFFFF"/>
          <w:lang w:val="en-GB"/>
        </w:rPr>
        <w:t>18 per cent of units being funded without grant are omitted, the average is</w:t>
      </w:r>
      <w:r w:rsidR="003E28B6" w:rsidRPr="00C562D6">
        <w:rPr>
          <w:rFonts w:ascii="Times New Roman" w:hAnsi="Times New Roman" w:cs="Times New Roman"/>
          <w:szCs w:val="24"/>
          <w:shd w:val="clear" w:color="auto" w:fill="FFFFFF"/>
          <w:lang w:val="en-GB"/>
        </w:rPr>
        <w:t xml:space="preserve"> </w:t>
      </w:r>
      <w:r w:rsidRPr="00C562D6">
        <w:rPr>
          <w:rFonts w:ascii="Times New Roman" w:hAnsi="Times New Roman" w:cs="Times New Roman"/>
          <w:szCs w:val="24"/>
          <w:shd w:val="clear" w:color="auto" w:fill="FFFFFF"/>
          <w:lang w:val="en-GB"/>
        </w:rPr>
        <w:t>£19,300 per unit). More than 80 per cent of the units to be provided will be AR rented</w:t>
      </w:r>
      <w:r w:rsidR="003E28B6" w:rsidRPr="00C562D6">
        <w:rPr>
          <w:rFonts w:ascii="Times New Roman" w:hAnsi="Times New Roman" w:cs="Times New Roman"/>
          <w:szCs w:val="24"/>
          <w:shd w:val="clear" w:color="auto" w:fill="FFFFFF"/>
          <w:lang w:val="en-GB"/>
        </w:rPr>
        <w:t>’</w:t>
      </w:r>
      <w:r w:rsidR="00D26244" w:rsidRPr="00C562D6">
        <w:rPr>
          <w:rFonts w:ascii="Times New Roman" w:hAnsi="Times New Roman" w:cs="Times New Roman"/>
          <w:szCs w:val="24"/>
          <w:shd w:val="clear" w:color="auto" w:fill="FFFFFF"/>
          <w:lang w:val="en-GB"/>
        </w:rPr>
        <w:t xml:space="preserve"> (Wilcox and Perry, 2014</w:t>
      </w:r>
      <w:r w:rsidR="00CC57E7" w:rsidRPr="00C562D6">
        <w:rPr>
          <w:rFonts w:ascii="Times New Roman" w:hAnsi="Times New Roman" w:cs="Times New Roman"/>
          <w:szCs w:val="24"/>
          <w:shd w:val="clear" w:color="auto" w:fill="FFFFFF"/>
          <w:lang w:val="en-GB"/>
        </w:rPr>
        <w:t>a</w:t>
      </w:r>
      <w:r w:rsidR="00D26244" w:rsidRPr="00C562D6">
        <w:rPr>
          <w:rFonts w:ascii="Times New Roman" w:hAnsi="Times New Roman" w:cs="Times New Roman"/>
          <w:szCs w:val="24"/>
          <w:shd w:val="clear" w:color="auto" w:fill="FFFFFF"/>
          <w:lang w:val="en-GB"/>
        </w:rPr>
        <w:t>: 60)</w:t>
      </w:r>
      <w:r w:rsidRPr="00C562D6">
        <w:rPr>
          <w:rFonts w:ascii="Times New Roman" w:hAnsi="Times New Roman" w:cs="Times New Roman"/>
          <w:szCs w:val="24"/>
          <w:shd w:val="clear" w:color="auto" w:fill="FFFFFF"/>
          <w:lang w:val="en-GB"/>
        </w:rPr>
        <w:t>.</w:t>
      </w:r>
    </w:p>
    <w:p w:rsidR="00F8100F" w:rsidRPr="00C562D6" w:rsidRDefault="00F8100F" w:rsidP="00060A0D">
      <w:pPr>
        <w:spacing w:after="200" w:line="480" w:lineRule="auto"/>
        <w:jc w:val="both"/>
        <w:rPr>
          <w:rFonts w:ascii="Times New Roman" w:hAnsi="Times New Roman" w:cs="Times New Roman"/>
          <w:szCs w:val="24"/>
          <w:shd w:val="clear" w:color="auto" w:fill="FFFFFF"/>
          <w:lang w:val="en-GB"/>
        </w:rPr>
      </w:pPr>
      <w:r w:rsidRPr="00C562D6">
        <w:rPr>
          <w:rFonts w:ascii="Times New Roman" w:hAnsi="Times New Roman" w:cs="Times New Roman"/>
          <w:szCs w:val="24"/>
          <w:shd w:val="clear" w:color="auto" w:fill="FFFFFF"/>
        </w:rPr>
        <w:t xml:space="preserve">Finally, historically there was a major contribution to affordable housing in England via the ‘planning gain’ (also known as </w:t>
      </w:r>
      <w:r w:rsidR="00D26244" w:rsidRPr="00C562D6">
        <w:rPr>
          <w:rFonts w:ascii="Times New Roman" w:hAnsi="Times New Roman" w:cs="Times New Roman"/>
          <w:szCs w:val="24"/>
          <w:shd w:val="clear" w:color="auto" w:fill="FFFFFF"/>
        </w:rPr>
        <w:t>s</w:t>
      </w:r>
      <w:r w:rsidRPr="00C562D6">
        <w:rPr>
          <w:rFonts w:ascii="Times New Roman" w:hAnsi="Times New Roman" w:cs="Times New Roman"/>
          <w:szCs w:val="24"/>
          <w:shd w:val="clear" w:color="auto" w:fill="FFFFFF"/>
        </w:rPr>
        <w:t xml:space="preserve">. 106 contributions, where developers of private market based schemes would contribute a proportion to affordable homes sector). Up to 2010/11, </w:t>
      </w:r>
      <w:r w:rsidRPr="00C562D6">
        <w:rPr>
          <w:rFonts w:ascii="Times New Roman" w:hAnsi="Times New Roman" w:cs="Times New Roman"/>
          <w:szCs w:val="24"/>
          <w:shd w:val="clear" w:color="auto" w:fill="FFFFFF"/>
          <w:lang w:val="en-GB"/>
        </w:rPr>
        <w:t xml:space="preserve">60 per cent of affordable output was funded from this source. ‘Since, then its contribution has fallen considerably and is no longer fuller measured, but nevertheless planning gain schemes </w:t>
      </w:r>
      <w:r w:rsidRPr="00C562D6">
        <w:rPr>
          <w:rFonts w:ascii="Times New Roman" w:hAnsi="Times New Roman" w:cs="Times New Roman"/>
          <w:szCs w:val="24"/>
          <w:shd w:val="clear" w:color="auto" w:fill="FFFFFF"/>
          <w:lang w:val="en-GB"/>
        </w:rPr>
        <w:lastRenderedPageBreak/>
        <w:t>without grant contributed 4,820 affordable homes in 2012/13’</w:t>
      </w:r>
      <w:r w:rsidR="00D26244" w:rsidRPr="00C562D6">
        <w:rPr>
          <w:rFonts w:ascii="Times New Roman" w:hAnsi="Times New Roman" w:cs="Times New Roman"/>
          <w:szCs w:val="24"/>
          <w:shd w:val="clear" w:color="auto" w:fill="FFFFFF"/>
          <w:lang w:val="en-GB"/>
        </w:rPr>
        <w:t xml:space="preserve"> (Wilcox and Perry, 2014: 60)</w:t>
      </w:r>
      <w:r w:rsidRPr="00C562D6">
        <w:rPr>
          <w:rStyle w:val="FootnoteReference"/>
          <w:rFonts w:ascii="Times New Roman" w:hAnsi="Times New Roman" w:cs="Times New Roman"/>
          <w:szCs w:val="24"/>
          <w:shd w:val="clear" w:color="auto" w:fill="FFFFFF"/>
          <w:lang w:val="en-GB"/>
        </w:rPr>
        <w:footnoteReference w:id="13"/>
      </w:r>
      <w:r w:rsidRPr="00C562D6">
        <w:rPr>
          <w:rFonts w:ascii="Times New Roman" w:hAnsi="Times New Roman" w:cs="Times New Roman"/>
          <w:szCs w:val="24"/>
          <w:shd w:val="clear" w:color="auto" w:fill="FFFFFF"/>
          <w:lang w:val="en-GB"/>
        </w:rPr>
        <w:t>.</w:t>
      </w:r>
      <w:r w:rsidR="005615C7" w:rsidRPr="00C562D6">
        <w:rPr>
          <w:rFonts w:ascii="Times New Roman" w:hAnsi="Times New Roman" w:cs="Times New Roman"/>
          <w:szCs w:val="24"/>
          <w:shd w:val="clear" w:color="auto" w:fill="FFFFFF"/>
          <w:lang w:val="en-GB"/>
        </w:rPr>
        <w:t xml:space="preserve"> </w:t>
      </w:r>
    </w:p>
    <w:p w:rsidR="00F8100F" w:rsidRPr="00C562D6" w:rsidRDefault="00183A0F" w:rsidP="00060A0D">
      <w:pPr>
        <w:spacing w:line="480" w:lineRule="auto"/>
        <w:rPr>
          <w:rFonts w:ascii="Times New Roman" w:hAnsi="Times New Roman" w:cs="Times New Roman"/>
          <w:szCs w:val="24"/>
          <w:shd w:val="clear" w:color="auto" w:fill="FFFFFF"/>
        </w:rPr>
      </w:pPr>
      <w:r w:rsidRPr="00C562D6">
        <w:rPr>
          <w:rFonts w:ascii="Times New Roman" w:hAnsi="Times New Roman" w:cs="Times New Roman"/>
          <w:i/>
          <w:szCs w:val="24"/>
        </w:rPr>
        <w:t xml:space="preserve">5.3 </w:t>
      </w:r>
      <w:r w:rsidR="005576C5" w:rsidRPr="00C562D6">
        <w:rPr>
          <w:rFonts w:ascii="Times New Roman" w:hAnsi="Times New Roman" w:cs="Times New Roman"/>
          <w:i/>
          <w:szCs w:val="24"/>
        </w:rPr>
        <w:t xml:space="preserve">The </w:t>
      </w:r>
      <w:r w:rsidR="00CC57E7" w:rsidRPr="00C562D6">
        <w:rPr>
          <w:rFonts w:ascii="Times New Roman" w:hAnsi="Times New Roman" w:cs="Times New Roman"/>
          <w:i/>
          <w:szCs w:val="24"/>
          <w:shd w:val="clear" w:color="auto" w:fill="FFFFFF"/>
        </w:rPr>
        <w:t xml:space="preserve">Affordable Homes Programme </w:t>
      </w:r>
      <w:r w:rsidR="005576C5" w:rsidRPr="00C562D6">
        <w:rPr>
          <w:rFonts w:ascii="Times New Roman" w:hAnsi="Times New Roman" w:cs="Times New Roman"/>
          <w:i/>
          <w:szCs w:val="24"/>
        </w:rPr>
        <w:t xml:space="preserve">2015—18 </w:t>
      </w:r>
    </w:p>
    <w:p w:rsidR="00AA292D" w:rsidRPr="00C562D6" w:rsidRDefault="005576C5" w:rsidP="00060A0D">
      <w:pPr>
        <w:spacing w:after="200" w:line="480" w:lineRule="auto"/>
        <w:jc w:val="both"/>
        <w:rPr>
          <w:rFonts w:ascii="Times New Roman" w:hAnsi="Times New Roman" w:cs="Times New Roman"/>
          <w:szCs w:val="24"/>
          <w:shd w:val="clear" w:color="auto" w:fill="FFFFFF"/>
        </w:rPr>
      </w:pPr>
      <w:r w:rsidRPr="00C562D6">
        <w:rPr>
          <w:rFonts w:ascii="Times New Roman" w:hAnsi="Times New Roman" w:cs="Times New Roman"/>
          <w:szCs w:val="24"/>
          <w:shd w:val="clear" w:color="auto" w:fill="FFFFFF"/>
        </w:rPr>
        <w:t>In the main</w:t>
      </w:r>
      <w:r w:rsidR="00CC57E7" w:rsidRPr="00C562D6">
        <w:rPr>
          <w:rFonts w:ascii="Times New Roman" w:hAnsi="Times New Roman" w:cs="Times New Roman"/>
          <w:szCs w:val="24"/>
          <w:shd w:val="clear" w:color="auto" w:fill="FFFFFF"/>
        </w:rPr>
        <w:t>,</w:t>
      </w:r>
      <w:r w:rsidRPr="00C562D6">
        <w:rPr>
          <w:rFonts w:ascii="Times New Roman" w:hAnsi="Times New Roman" w:cs="Times New Roman"/>
          <w:szCs w:val="24"/>
          <w:shd w:val="clear" w:color="auto" w:fill="FFFFFF"/>
        </w:rPr>
        <w:t xml:space="preserve"> the</w:t>
      </w:r>
      <w:r w:rsidR="00CC57E7" w:rsidRPr="00C562D6">
        <w:rPr>
          <w:rFonts w:ascii="Times New Roman" w:hAnsi="Times New Roman" w:cs="Times New Roman"/>
          <w:i/>
          <w:szCs w:val="24"/>
        </w:rPr>
        <w:t xml:space="preserve"> </w:t>
      </w:r>
      <w:r w:rsidR="00CC57E7" w:rsidRPr="00C562D6">
        <w:rPr>
          <w:rFonts w:ascii="Times New Roman" w:hAnsi="Times New Roman" w:cs="Times New Roman"/>
          <w:szCs w:val="24"/>
        </w:rPr>
        <w:t xml:space="preserve">AHP </w:t>
      </w:r>
      <w:r w:rsidRPr="00C562D6">
        <w:rPr>
          <w:rFonts w:ascii="Times New Roman" w:hAnsi="Times New Roman" w:cs="Times New Roman"/>
          <w:szCs w:val="24"/>
          <w:shd w:val="clear" w:color="auto" w:fill="FFFFFF"/>
        </w:rPr>
        <w:t xml:space="preserve">(2015-18) continues where the previous </w:t>
      </w:r>
      <w:r w:rsidR="00AA292D" w:rsidRPr="00C562D6">
        <w:rPr>
          <w:rFonts w:ascii="Times New Roman" w:hAnsi="Times New Roman" w:cs="Times New Roman"/>
          <w:szCs w:val="24"/>
          <w:shd w:val="clear" w:color="auto" w:fill="FFFFFF"/>
        </w:rPr>
        <w:t>round left off.</w:t>
      </w:r>
      <w:r w:rsidRPr="00C562D6">
        <w:rPr>
          <w:rFonts w:ascii="Times New Roman" w:hAnsi="Times New Roman" w:cs="Times New Roman"/>
          <w:szCs w:val="24"/>
          <w:shd w:val="clear" w:color="auto" w:fill="FFFFFF"/>
        </w:rPr>
        <w:t xml:space="preserve"> </w:t>
      </w:r>
      <w:r w:rsidR="00AA292D" w:rsidRPr="00C562D6">
        <w:rPr>
          <w:rFonts w:ascii="Times New Roman" w:hAnsi="Times New Roman" w:cs="Times New Roman"/>
          <w:szCs w:val="24"/>
          <w:shd w:val="clear" w:color="auto" w:fill="FFFFFF"/>
        </w:rPr>
        <w:t xml:space="preserve">The funding emphasis continues to be on the developing organisations raises as </w:t>
      </w:r>
      <w:r w:rsidR="00820BB1" w:rsidRPr="00C562D6">
        <w:rPr>
          <w:rFonts w:ascii="Times New Roman" w:hAnsi="Times New Roman" w:cs="Times New Roman"/>
          <w:szCs w:val="24"/>
          <w:shd w:val="clear" w:color="auto" w:fill="FFFFFF"/>
        </w:rPr>
        <w:t>high a contribution as possible</w:t>
      </w:r>
      <w:r w:rsidR="00D26244" w:rsidRPr="00C562D6">
        <w:rPr>
          <w:rFonts w:ascii="Times New Roman" w:hAnsi="Times New Roman" w:cs="Times New Roman"/>
          <w:szCs w:val="24"/>
          <w:shd w:val="clear" w:color="auto" w:fill="FFFFFF"/>
        </w:rPr>
        <w:t>,</w:t>
      </w:r>
      <w:r w:rsidR="00AA292D" w:rsidRPr="00C562D6">
        <w:rPr>
          <w:rFonts w:ascii="Times New Roman" w:hAnsi="Times New Roman" w:cs="Times New Roman"/>
          <w:szCs w:val="24"/>
          <w:shd w:val="clear" w:color="auto" w:fill="FFFFFF"/>
        </w:rPr>
        <w:t xml:space="preserve"> with public grant money being the last element in the funding mix. There continues to be a focus on whole stock management with bidders being asked not only to state what level of disposals they will carry out to fund the new builds but also to justify why the level is not higher</w:t>
      </w:r>
      <w:r w:rsidR="006961F3" w:rsidRPr="00C562D6">
        <w:rPr>
          <w:rFonts w:ascii="Times New Roman" w:hAnsi="Times New Roman" w:cs="Times New Roman"/>
          <w:szCs w:val="24"/>
          <w:shd w:val="clear" w:color="auto" w:fill="FFFFFF"/>
        </w:rPr>
        <w:t xml:space="preserve"> (Wilcox and Perry, 2014)</w:t>
      </w:r>
      <w:r w:rsidR="00AA292D" w:rsidRPr="00C562D6">
        <w:rPr>
          <w:rFonts w:ascii="Times New Roman" w:hAnsi="Times New Roman" w:cs="Times New Roman"/>
          <w:szCs w:val="24"/>
          <w:shd w:val="clear" w:color="auto" w:fill="FFFFFF"/>
        </w:rPr>
        <w:t xml:space="preserve">. </w:t>
      </w:r>
      <w:r w:rsidR="00255879" w:rsidRPr="00C562D6">
        <w:rPr>
          <w:rFonts w:ascii="Times New Roman" w:hAnsi="Times New Roman" w:cs="Times New Roman"/>
          <w:szCs w:val="24"/>
          <w:shd w:val="clear" w:color="auto" w:fill="FFFFFF"/>
        </w:rPr>
        <w:t xml:space="preserve">The social rented sector will continue to be squeezed as tenancies that </w:t>
      </w:r>
      <w:r w:rsidR="00820BB1" w:rsidRPr="00C562D6">
        <w:rPr>
          <w:rFonts w:ascii="Times New Roman" w:hAnsi="Times New Roman" w:cs="Times New Roman"/>
          <w:szCs w:val="24"/>
          <w:shd w:val="clear" w:color="auto" w:fill="FFFFFF"/>
        </w:rPr>
        <w:t xml:space="preserve">come to an </w:t>
      </w:r>
      <w:r w:rsidR="00255879" w:rsidRPr="00C562D6">
        <w:rPr>
          <w:rFonts w:ascii="Times New Roman" w:hAnsi="Times New Roman" w:cs="Times New Roman"/>
          <w:szCs w:val="24"/>
          <w:shd w:val="clear" w:color="auto" w:fill="FFFFFF"/>
        </w:rPr>
        <w:t>end will be expected to be re-let at affordable rent levels.</w:t>
      </w:r>
    </w:p>
    <w:p w:rsidR="004A0D28" w:rsidRPr="00C562D6" w:rsidRDefault="00255879" w:rsidP="00060A0D">
      <w:pPr>
        <w:spacing w:after="200" w:line="480" w:lineRule="auto"/>
        <w:jc w:val="both"/>
        <w:rPr>
          <w:rFonts w:ascii="Times New Roman" w:hAnsi="Times New Roman" w:cs="Times New Roman"/>
          <w:szCs w:val="24"/>
          <w:shd w:val="clear" w:color="auto" w:fill="FFFFFF"/>
        </w:rPr>
      </w:pPr>
      <w:r w:rsidRPr="00C562D6">
        <w:rPr>
          <w:rFonts w:ascii="Times New Roman" w:hAnsi="Times New Roman" w:cs="Times New Roman"/>
          <w:szCs w:val="24"/>
          <w:shd w:val="clear" w:color="auto" w:fill="FFFFFF"/>
        </w:rPr>
        <w:t>There are two significant changes in the 2015-18 round; the first concerning the delivery model and the second the introduction of a new product.</w:t>
      </w:r>
      <w:r w:rsidR="004A0D28" w:rsidRPr="00C562D6">
        <w:rPr>
          <w:rFonts w:ascii="Times New Roman" w:hAnsi="Times New Roman" w:cs="Times New Roman"/>
          <w:szCs w:val="24"/>
          <w:shd w:val="clear" w:color="auto" w:fill="FFFFFF"/>
        </w:rPr>
        <w:t xml:space="preserve"> Under the new round bidders can choose to follow either a </w:t>
      </w:r>
      <w:proofErr w:type="gramStart"/>
      <w:r w:rsidR="004A0D28" w:rsidRPr="00C562D6">
        <w:rPr>
          <w:rFonts w:ascii="Times New Roman" w:hAnsi="Times New Roman" w:cs="Times New Roman"/>
          <w:i/>
          <w:szCs w:val="24"/>
          <w:shd w:val="clear" w:color="auto" w:fill="FFFFFF"/>
        </w:rPr>
        <w:t>Mixed</w:t>
      </w:r>
      <w:proofErr w:type="gramEnd"/>
      <w:r w:rsidR="004A0D28" w:rsidRPr="00C562D6">
        <w:rPr>
          <w:rFonts w:ascii="Times New Roman" w:hAnsi="Times New Roman" w:cs="Times New Roman"/>
          <w:i/>
          <w:szCs w:val="24"/>
          <w:shd w:val="clear" w:color="auto" w:fill="FFFFFF"/>
        </w:rPr>
        <w:t xml:space="preserve"> route</w:t>
      </w:r>
      <w:r w:rsidR="004A0D28" w:rsidRPr="00C562D6">
        <w:rPr>
          <w:rFonts w:ascii="Times New Roman" w:hAnsi="Times New Roman" w:cs="Times New Roman"/>
          <w:szCs w:val="24"/>
          <w:shd w:val="clear" w:color="auto" w:fill="FFFFFF"/>
        </w:rPr>
        <w:t xml:space="preserve"> (which is a combination of firm and indicative schemes) or a </w:t>
      </w:r>
      <w:r w:rsidR="004A0D28" w:rsidRPr="00C562D6">
        <w:rPr>
          <w:rFonts w:ascii="Times New Roman" w:hAnsi="Times New Roman" w:cs="Times New Roman"/>
          <w:i/>
          <w:szCs w:val="24"/>
          <w:shd w:val="clear" w:color="auto" w:fill="FFFFFF"/>
        </w:rPr>
        <w:t>Firm scheme only route</w:t>
      </w:r>
      <w:r w:rsidR="004A0D28" w:rsidRPr="00C562D6">
        <w:rPr>
          <w:rFonts w:ascii="Times New Roman" w:hAnsi="Times New Roman" w:cs="Times New Roman"/>
          <w:szCs w:val="24"/>
          <w:shd w:val="clear" w:color="auto" w:fill="FFFFFF"/>
        </w:rPr>
        <w:t xml:space="preserve">. The benefit of this will be to identify earlier the schemes that are more likely to be delivered and those that are of a higher risk in terms of deliverability. The second change reflects the introduction of an Affordable Rent to buy product, reflecting the Coalition’s twin policy priorities of increasing homes at affordable rent levels and home ownership. </w:t>
      </w:r>
    </w:p>
    <w:p w:rsidR="00C76847" w:rsidRPr="00C562D6" w:rsidRDefault="00340443" w:rsidP="00183A0F">
      <w:pPr>
        <w:pStyle w:val="ListParagraph"/>
        <w:numPr>
          <w:ilvl w:val="0"/>
          <w:numId w:val="8"/>
        </w:numPr>
        <w:spacing w:line="480" w:lineRule="auto"/>
        <w:rPr>
          <w:rFonts w:ascii="Times New Roman" w:hAnsi="Times New Roman" w:cs="Times New Roman"/>
          <w:b/>
          <w:szCs w:val="24"/>
          <w:shd w:val="clear" w:color="auto" w:fill="FFFFFF"/>
        </w:rPr>
      </w:pPr>
      <w:r w:rsidRPr="00C562D6">
        <w:rPr>
          <w:rFonts w:ascii="Times New Roman" w:hAnsi="Times New Roman" w:cs="Times New Roman"/>
          <w:b/>
          <w:szCs w:val="24"/>
          <w:shd w:val="clear" w:color="auto" w:fill="FFFFFF"/>
        </w:rPr>
        <w:t>Discussion and c</w:t>
      </w:r>
      <w:r w:rsidR="00820BB1" w:rsidRPr="00C562D6">
        <w:rPr>
          <w:rFonts w:ascii="Times New Roman" w:hAnsi="Times New Roman" w:cs="Times New Roman"/>
          <w:b/>
          <w:szCs w:val="24"/>
          <w:shd w:val="clear" w:color="auto" w:fill="FFFFFF"/>
        </w:rPr>
        <w:t>onclusion</w:t>
      </w:r>
    </w:p>
    <w:p w:rsidR="007B18EC" w:rsidRPr="00C562D6" w:rsidRDefault="007B18EC" w:rsidP="00060A0D">
      <w:pPr>
        <w:spacing w:after="200" w:line="480" w:lineRule="auto"/>
        <w:jc w:val="both"/>
        <w:rPr>
          <w:rFonts w:ascii="Times New Roman" w:hAnsi="Times New Roman" w:cs="Times New Roman"/>
          <w:szCs w:val="24"/>
          <w:shd w:val="clear" w:color="auto" w:fill="FFFFFF"/>
        </w:rPr>
      </w:pPr>
      <w:r w:rsidRPr="00C562D6">
        <w:rPr>
          <w:rFonts w:ascii="Times New Roman" w:hAnsi="Times New Roman" w:cs="Times New Roman"/>
          <w:szCs w:val="24"/>
          <w:shd w:val="clear" w:color="auto" w:fill="FFFFFF"/>
        </w:rPr>
        <w:t>This review of the English housing market</w:t>
      </w:r>
      <w:r w:rsidR="00130C25" w:rsidRPr="00C562D6">
        <w:rPr>
          <w:rFonts w:ascii="Times New Roman" w:hAnsi="Times New Roman" w:cs="Times New Roman"/>
          <w:szCs w:val="24"/>
          <w:shd w:val="clear" w:color="auto" w:fill="FFFFFF"/>
        </w:rPr>
        <w:t xml:space="preserve"> and the AHP</w:t>
      </w:r>
      <w:r w:rsidRPr="00C562D6">
        <w:rPr>
          <w:rFonts w:ascii="Times New Roman" w:hAnsi="Times New Roman" w:cs="Times New Roman"/>
          <w:szCs w:val="24"/>
          <w:shd w:val="clear" w:color="auto" w:fill="FFFFFF"/>
        </w:rPr>
        <w:t xml:space="preserve"> has covered four broad themes.  The first theme concerned the overall housing market. The main points concerned the differing behaviours of the market in London and the Southeast as compared with the rest of the country. The main processes at work in the English housing</w:t>
      </w:r>
      <w:r w:rsidR="00130C25" w:rsidRPr="00C562D6">
        <w:rPr>
          <w:rFonts w:ascii="Times New Roman" w:hAnsi="Times New Roman" w:cs="Times New Roman"/>
          <w:szCs w:val="24"/>
          <w:shd w:val="clear" w:color="auto" w:fill="FFFFFF"/>
        </w:rPr>
        <w:t xml:space="preserve"> market</w:t>
      </w:r>
      <w:r w:rsidRPr="00C562D6">
        <w:rPr>
          <w:rFonts w:ascii="Times New Roman" w:hAnsi="Times New Roman" w:cs="Times New Roman"/>
          <w:szCs w:val="24"/>
          <w:shd w:val="clear" w:color="auto" w:fill="FFFFFF"/>
        </w:rPr>
        <w:t xml:space="preserve"> are</w:t>
      </w:r>
      <w:r w:rsidR="00F4411D" w:rsidRPr="00C562D6">
        <w:rPr>
          <w:rFonts w:ascii="Times New Roman" w:hAnsi="Times New Roman" w:cs="Times New Roman"/>
          <w:szCs w:val="24"/>
          <w:shd w:val="clear" w:color="auto" w:fill="FFFFFF"/>
        </w:rPr>
        <w:t xml:space="preserve"> the</w:t>
      </w:r>
      <w:r w:rsidRPr="00C562D6">
        <w:rPr>
          <w:rFonts w:ascii="Times New Roman" w:hAnsi="Times New Roman" w:cs="Times New Roman"/>
          <w:szCs w:val="24"/>
          <w:shd w:val="clear" w:color="auto" w:fill="FFFFFF"/>
        </w:rPr>
        <w:t xml:space="preserve"> long</w:t>
      </w:r>
      <w:r w:rsidR="00F4411D" w:rsidRPr="00C562D6">
        <w:rPr>
          <w:rFonts w:ascii="Times New Roman" w:hAnsi="Times New Roman" w:cs="Times New Roman"/>
          <w:szCs w:val="24"/>
          <w:shd w:val="clear" w:color="auto" w:fill="FFFFFF"/>
        </w:rPr>
        <w:t>-</w:t>
      </w:r>
      <w:r w:rsidRPr="00C562D6">
        <w:rPr>
          <w:rFonts w:ascii="Times New Roman" w:hAnsi="Times New Roman" w:cs="Times New Roman"/>
          <w:szCs w:val="24"/>
          <w:shd w:val="clear" w:color="auto" w:fill="FFFFFF"/>
        </w:rPr>
        <w:t xml:space="preserve">term under </w:t>
      </w:r>
      <w:r w:rsidRPr="00C562D6">
        <w:rPr>
          <w:rFonts w:ascii="Times New Roman" w:hAnsi="Times New Roman" w:cs="Times New Roman"/>
          <w:szCs w:val="24"/>
          <w:shd w:val="clear" w:color="auto" w:fill="FFFFFF"/>
        </w:rPr>
        <w:lastRenderedPageBreak/>
        <w:t>supply of housing</w:t>
      </w:r>
      <w:r w:rsidR="00F4411D" w:rsidRPr="00C562D6">
        <w:rPr>
          <w:rFonts w:ascii="Times New Roman" w:hAnsi="Times New Roman" w:cs="Times New Roman"/>
          <w:szCs w:val="24"/>
          <w:shd w:val="clear" w:color="auto" w:fill="FFFFFF"/>
        </w:rPr>
        <w:t xml:space="preserve"> (coupled with an inequitable distribution) and a rising demand for social/affordable housing as real wages continue to fall.</w:t>
      </w:r>
    </w:p>
    <w:p w:rsidR="00F4411D" w:rsidRPr="00C562D6" w:rsidRDefault="00F4411D" w:rsidP="00060A0D">
      <w:pPr>
        <w:spacing w:after="200" w:line="480" w:lineRule="auto"/>
        <w:jc w:val="both"/>
        <w:rPr>
          <w:rFonts w:ascii="Times New Roman" w:hAnsi="Times New Roman" w:cs="Times New Roman"/>
          <w:szCs w:val="24"/>
          <w:shd w:val="clear" w:color="auto" w:fill="FFFFFF"/>
        </w:rPr>
      </w:pPr>
      <w:r w:rsidRPr="00C562D6">
        <w:rPr>
          <w:rFonts w:ascii="Times New Roman" w:hAnsi="Times New Roman" w:cs="Times New Roman"/>
          <w:szCs w:val="24"/>
          <w:shd w:val="clear" w:color="auto" w:fill="FFFFFF"/>
        </w:rPr>
        <w:t>The</w:t>
      </w:r>
      <w:r w:rsidR="00130C25" w:rsidRPr="00C562D6">
        <w:rPr>
          <w:rFonts w:ascii="Times New Roman" w:hAnsi="Times New Roman" w:cs="Times New Roman"/>
          <w:szCs w:val="24"/>
          <w:shd w:val="clear" w:color="auto" w:fill="FFFFFF"/>
        </w:rPr>
        <w:t xml:space="preserve"> second </w:t>
      </w:r>
      <w:r w:rsidRPr="00C562D6">
        <w:rPr>
          <w:rFonts w:ascii="Times New Roman" w:hAnsi="Times New Roman" w:cs="Times New Roman"/>
          <w:szCs w:val="24"/>
          <w:shd w:val="clear" w:color="auto" w:fill="FFFFFF"/>
        </w:rPr>
        <w:t>theme</w:t>
      </w:r>
      <w:r w:rsidR="00130C25" w:rsidRPr="00C562D6">
        <w:rPr>
          <w:rFonts w:ascii="Times New Roman" w:hAnsi="Times New Roman" w:cs="Times New Roman"/>
          <w:szCs w:val="24"/>
          <w:shd w:val="clear" w:color="auto" w:fill="FFFFFF"/>
        </w:rPr>
        <w:t xml:space="preserve"> – the</w:t>
      </w:r>
      <w:r w:rsidRPr="00C562D6">
        <w:rPr>
          <w:rFonts w:ascii="Times New Roman" w:hAnsi="Times New Roman" w:cs="Times New Roman"/>
          <w:szCs w:val="24"/>
          <w:shd w:val="clear" w:color="auto" w:fill="FFFFFF"/>
        </w:rPr>
        <w:t xml:space="preserve"> </w:t>
      </w:r>
      <w:r w:rsidR="00130C25" w:rsidRPr="00C562D6">
        <w:rPr>
          <w:rFonts w:ascii="Times New Roman" w:hAnsi="Times New Roman" w:cs="Times New Roman"/>
          <w:szCs w:val="24"/>
          <w:shd w:val="clear" w:color="auto" w:fill="FFFFFF"/>
        </w:rPr>
        <w:t xml:space="preserve">policy/strategy context – </w:t>
      </w:r>
      <w:r w:rsidRPr="00C562D6">
        <w:rPr>
          <w:rFonts w:ascii="Times New Roman" w:hAnsi="Times New Roman" w:cs="Times New Roman"/>
          <w:szCs w:val="24"/>
          <w:shd w:val="clear" w:color="auto" w:fill="FFFFFF"/>
        </w:rPr>
        <w:t>highlighted the government reforms over the past forty years in the housing market that have resulted in a major restructuring of the market; where once housing associations were an almost insignificant</w:t>
      </w:r>
      <w:r w:rsidR="00372B2C" w:rsidRPr="00C562D6">
        <w:rPr>
          <w:rFonts w:ascii="Times New Roman" w:hAnsi="Times New Roman" w:cs="Times New Roman"/>
          <w:szCs w:val="24"/>
          <w:shd w:val="clear" w:color="auto" w:fill="FFFFFF"/>
        </w:rPr>
        <w:t>,</w:t>
      </w:r>
      <w:r w:rsidRPr="00C562D6">
        <w:rPr>
          <w:rFonts w:ascii="Times New Roman" w:hAnsi="Times New Roman" w:cs="Times New Roman"/>
          <w:szCs w:val="24"/>
          <w:shd w:val="clear" w:color="auto" w:fill="FFFFFF"/>
        </w:rPr>
        <w:t xml:space="preserve"> peripheral actor to now providing the majority of social housing in England. </w:t>
      </w:r>
      <w:r w:rsidR="00372B2C" w:rsidRPr="00C562D6">
        <w:rPr>
          <w:rFonts w:ascii="Times New Roman" w:hAnsi="Times New Roman" w:cs="Times New Roman"/>
          <w:szCs w:val="24"/>
          <w:shd w:val="clear" w:color="auto" w:fill="FFFFFF"/>
        </w:rPr>
        <w:t>In r</w:t>
      </w:r>
      <w:r w:rsidRPr="00C562D6">
        <w:rPr>
          <w:rFonts w:ascii="Times New Roman" w:hAnsi="Times New Roman" w:cs="Times New Roman"/>
          <w:szCs w:val="24"/>
          <w:shd w:val="clear" w:color="auto" w:fill="FFFFFF"/>
        </w:rPr>
        <w:t>ecent years, especially under the Coalition government</w:t>
      </w:r>
      <w:r w:rsidR="00372B2C" w:rsidRPr="00C562D6">
        <w:rPr>
          <w:rFonts w:ascii="Times New Roman" w:hAnsi="Times New Roman" w:cs="Times New Roman"/>
          <w:szCs w:val="24"/>
          <w:shd w:val="clear" w:color="auto" w:fill="FFFFFF"/>
        </w:rPr>
        <w:t>,</w:t>
      </w:r>
      <w:r w:rsidRPr="00C562D6">
        <w:rPr>
          <w:rFonts w:ascii="Times New Roman" w:hAnsi="Times New Roman" w:cs="Times New Roman"/>
          <w:szCs w:val="24"/>
          <w:shd w:val="clear" w:color="auto" w:fill="FFFFFF"/>
        </w:rPr>
        <w:t xml:space="preserve"> the private rented sec</w:t>
      </w:r>
      <w:r w:rsidR="00E20555" w:rsidRPr="00C562D6">
        <w:rPr>
          <w:rFonts w:ascii="Times New Roman" w:hAnsi="Times New Roman" w:cs="Times New Roman"/>
          <w:szCs w:val="24"/>
          <w:shd w:val="clear" w:color="auto" w:fill="FFFFFF"/>
        </w:rPr>
        <w:t>tor has expanded significantly, in part as a response to the tight</w:t>
      </w:r>
      <w:r w:rsidR="00372B2C" w:rsidRPr="00C562D6">
        <w:rPr>
          <w:rFonts w:ascii="Times New Roman" w:hAnsi="Times New Roman" w:cs="Times New Roman"/>
          <w:szCs w:val="24"/>
          <w:shd w:val="clear" w:color="auto" w:fill="FFFFFF"/>
        </w:rPr>
        <w:t>er</w:t>
      </w:r>
      <w:r w:rsidR="00E20555" w:rsidRPr="00C562D6">
        <w:rPr>
          <w:rFonts w:ascii="Times New Roman" w:hAnsi="Times New Roman" w:cs="Times New Roman"/>
          <w:szCs w:val="24"/>
          <w:shd w:val="clear" w:color="auto" w:fill="FFFFFF"/>
        </w:rPr>
        <w:t xml:space="preserve"> credit conditions following the economic crisis in 2008 and the continued reduction in public funding for the social housing sector.</w:t>
      </w:r>
    </w:p>
    <w:p w:rsidR="00E20555" w:rsidRPr="00C562D6" w:rsidRDefault="00E20555" w:rsidP="00060A0D">
      <w:pPr>
        <w:spacing w:after="200" w:line="480" w:lineRule="auto"/>
        <w:jc w:val="both"/>
        <w:rPr>
          <w:rFonts w:ascii="Times New Roman" w:hAnsi="Times New Roman" w:cs="Times New Roman"/>
          <w:szCs w:val="24"/>
          <w:shd w:val="clear" w:color="auto" w:fill="FFFFFF"/>
        </w:rPr>
      </w:pPr>
      <w:r w:rsidRPr="00C562D6">
        <w:rPr>
          <w:rFonts w:ascii="Times New Roman" w:hAnsi="Times New Roman" w:cs="Times New Roman"/>
          <w:szCs w:val="24"/>
          <w:shd w:val="clear" w:color="auto" w:fill="FFFFFF"/>
        </w:rPr>
        <w:t>The</w:t>
      </w:r>
      <w:r w:rsidR="00130C25" w:rsidRPr="00C562D6">
        <w:rPr>
          <w:rFonts w:ascii="Times New Roman" w:hAnsi="Times New Roman" w:cs="Times New Roman"/>
          <w:szCs w:val="24"/>
          <w:shd w:val="clear" w:color="auto" w:fill="FFFFFF"/>
        </w:rPr>
        <w:t xml:space="preserve"> third</w:t>
      </w:r>
      <w:r w:rsidRPr="00C562D6">
        <w:rPr>
          <w:rFonts w:ascii="Times New Roman" w:hAnsi="Times New Roman" w:cs="Times New Roman"/>
          <w:szCs w:val="24"/>
          <w:shd w:val="clear" w:color="auto" w:fill="FFFFFF"/>
        </w:rPr>
        <w:t xml:space="preserve"> </w:t>
      </w:r>
      <w:r w:rsidR="00130C25" w:rsidRPr="00C562D6">
        <w:rPr>
          <w:rFonts w:ascii="Times New Roman" w:hAnsi="Times New Roman" w:cs="Times New Roman"/>
          <w:szCs w:val="24"/>
          <w:shd w:val="clear" w:color="auto" w:fill="FFFFFF"/>
        </w:rPr>
        <w:t>theme, concerning</w:t>
      </w:r>
      <w:r w:rsidRPr="00C562D6">
        <w:rPr>
          <w:rFonts w:ascii="Times New Roman" w:hAnsi="Times New Roman" w:cs="Times New Roman"/>
          <w:szCs w:val="24"/>
          <w:shd w:val="clear" w:color="auto" w:fill="FFFFFF"/>
        </w:rPr>
        <w:t xml:space="preserve"> the funding environment</w:t>
      </w:r>
      <w:r w:rsidR="00130C25" w:rsidRPr="00C562D6">
        <w:rPr>
          <w:rFonts w:ascii="Times New Roman" w:hAnsi="Times New Roman" w:cs="Times New Roman"/>
          <w:szCs w:val="24"/>
          <w:shd w:val="clear" w:color="auto" w:fill="FFFFFF"/>
        </w:rPr>
        <w:t>,</w:t>
      </w:r>
      <w:r w:rsidRPr="00C562D6">
        <w:rPr>
          <w:rFonts w:ascii="Times New Roman" w:hAnsi="Times New Roman" w:cs="Times New Roman"/>
          <w:szCs w:val="24"/>
          <w:shd w:val="clear" w:color="auto" w:fill="FFFFFF"/>
        </w:rPr>
        <w:t xml:space="preserve"> is the manner in which private finance in various forms has been mobilised in an attempt to fill the gap left as state funding has been withdrawn. This has taken a variety of forms</w:t>
      </w:r>
      <w:r w:rsidR="00372B2C" w:rsidRPr="00C562D6">
        <w:rPr>
          <w:rFonts w:ascii="Times New Roman" w:hAnsi="Times New Roman" w:cs="Times New Roman"/>
          <w:szCs w:val="24"/>
          <w:shd w:val="clear" w:color="auto" w:fill="FFFFFF"/>
        </w:rPr>
        <w:t>;</w:t>
      </w:r>
      <w:r w:rsidRPr="00C562D6">
        <w:rPr>
          <w:rFonts w:ascii="Times New Roman" w:hAnsi="Times New Roman" w:cs="Times New Roman"/>
          <w:szCs w:val="24"/>
          <w:shd w:val="clear" w:color="auto" w:fill="FFFFFF"/>
        </w:rPr>
        <w:t xml:space="preserve"> </w:t>
      </w:r>
      <w:r w:rsidR="00372B2C" w:rsidRPr="00C562D6">
        <w:rPr>
          <w:rFonts w:ascii="Times New Roman" w:hAnsi="Times New Roman" w:cs="Times New Roman"/>
          <w:szCs w:val="24"/>
          <w:shd w:val="clear" w:color="auto" w:fill="FFFFFF"/>
        </w:rPr>
        <w:t>for example,</w:t>
      </w:r>
      <w:r w:rsidRPr="00C562D6">
        <w:rPr>
          <w:rFonts w:ascii="Times New Roman" w:hAnsi="Times New Roman" w:cs="Times New Roman"/>
          <w:szCs w:val="24"/>
          <w:shd w:val="clear" w:color="auto" w:fill="FFFFFF"/>
        </w:rPr>
        <w:t xml:space="preserve"> through individuals raising mortgages to buy their council homes or through the LSVT policy.</w:t>
      </w:r>
    </w:p>
    <w:p w:rsidR="00C4645C" w:rsidRPr="00C562D6" w:rsidRDefault="00130C25" w:rsidP="00060A0D">
      <w:pPr>
        <w:spacing w:after="200" w:line="480" w:lineRule="auto"/>
        <w:jc w:val="both"/>
        <w:rPr>
          <w:rFonts w:ascii="Times New Roman" w:hAnsi="Times New Roman" w:cs="Times New Roman"/>
          <w:szCs w:val="24"/>
          <w:shd w:val="clear" w:color="auto" w:fill="FFFFFF"/>
        </w:rPr>
      </w:pPr>
      <w:r w:rsidRPr="00C562D6">
        <w:rPr>
          <w:rFonts w:ascii="Times New Roman" w:hAnsi="Times New Roman" w:cs="Times New Roman"/>
          <w:szCs w:val="24"/>
          <w:shd w:val="clear" w:color="auto" w:fill="FFFFFF"/>
        </w:rPr>
        <w:t>The f</w:t>
      </w:r>
      <w:r w:rsidR="00E20555" w:rsidRPr="00C562D6">
        <w:rPr>
          <w:rFonts w:ascii="Times New Roman" w:hAnsi="Times New Roman" w:cs="Times New Roman"/>
          <w:szCs w:val="24"/>
          <w:shd w:val="clear" w:color="auto" w:fill="FFFFFF"/>
        </w:rPr>
        <w:t>inal</w:t>
      </w:r>
      <w:r w:rsidRPr="00C562D6">
        <w:rPr>
          <w:rFonts w:ascii="Times New Roman" w:hAnsi="Times New Roman" w:cs="Times New Roman"/>
          <w:szCs w:val="24"/>
          <w:shd w:val="clear" w:color="auto" w:fill="FFFFFF"/>
        </w:rPr>
        <w:t xml:space="preserve"> theme covered </w:t>
      </w:r>
      <w:r w:rsidR="00E20555" w:rsidRPr="00C562D6">
        <w:rPr>
          <w:rFonts w:ascii="Times New Roman" w:hAnsi="Times New Roman" w:cs="Times New Roman"/>
          <w:szCs w:val="24"/>
          <w:shd w:val="clear" w:color="auto" w:fill="FFFFFF"/>
        </w:rPr>
        <w:t xml:space="preserve">the government interventions </w:t>
      </w:r>
      <w:r w:rsidRPr="00C562D6">
        <w:rPr>
          <w:rFonts w:ascii="Times New Roman" w:hAnsi="Times New Roman" w:cs="Times New Roman"/>
          <w:szCs w:val="24"/>
          <w:shd w:val="clear" w:color="auto" w:fill="FFFFFF"/>
        </w:rPr>
        <w:t>through</w:t>
      </w:r>
      <w:r w:rsidR="00E20555" w:rsidRPr="00C562D6">
        <w:rPr>
          <w:rFonts w:ascii="Times New Roman" w:hAnsi="Times New Roman" w:cs="Times New Roman"/>
          <w:szCs w:val="24"/>
          <w:shd w:val="clear" w:color="auto" w:fill="FFFFFF"/>
        </w:rPr>
        <w:t xml:space="preserve"> the more recent programmes aimed at developing affordable homes by utilising major funding contributions from bidders and private finance. These programmes have seen a drastic reduction in the government funding for new build schemes, </w:t>
      </w:r>
      <w:r w:rsidR="00C4645C" w:rsidRPr="00C562D6">
        <w:rPr>
          <w:rFonts w:ascii="Times New Roman" w:hAnsi="Times New Roman" w:cs="Times New Roman"/>
          <w:szCs w:val="24"/>
          <w:shd w:val="clear" w:color="auto" w:fill="FFFFFF"/>
        </w:rPr>
        <w:t xml:space="preserve">a corresponding increase in debt levels in the sector and a shift in emphasis from capital to revenue funding. There has been identification that </w:t>
      </w:r>
      <w:r w:rsidR="00E20555" w:rsidRPr="00C562D6">
        <w:rPr>
          <w:rFonts w:ascii="Times New Roman" w:hAnsi="Times New Roman" w:cs="Times New Roman"/>
          <w:szCs w:val="24"/>
          <w:shd w:val="clear" w:color="auto" w:fill="FFFFFF"/>
        </w:rPr>
        <w:t>the</w:t>
      </w:r>
      <w:r w:rsidR="00C4645C" w:rsidRPr="00C562D6">
        <w:rPr>
          <w:rFonts w:ascii="Times New Roman" w:hAnsi="Times New Roman" w:cs="Times New Roman"/>
          <w:szCs w:val="24"/>
          <w:shd w:val="clear" w:color="auto" w:fill="FFFFFF"/>
        </w:rPr>
        <w:t xml:space="preserve"> AHP</w:t>
      </w:r>
      <w:r w:rsidR="00E20555" w:rsidRPr="00C562D6">
        <w:rPr>
          <w:rFonts w:ascii="Times New Roman" w:hAnsi="Times New Roman" w:cs="Times New Roman"/>
          <w:szCs w:val="24"/>
          <w:shd w:val="clear" w:color="auto" w:fill="FFFFFF"/>
        </w:rPr>
        <w:t xml:space="preserve"> programmes </w:t>
      </w:r>
      <w:r w:rsidR="00C4645C" w:rsidRPr="00C562D6">
        <w:rPr>
          <w:rFonts w:ascii="Times New Roman" w:hAnsi="Times New Roman" w:cs="Times New Roman"/>
          <w:szCs w:val="24"/>
          <w:shd w:val="clear" w:color="auto" w:fill="FFFFFF"/>
        </w:rPr>
        <w:t xml:space="preserve">contain significant </w:t>
      </w:r>
      <w:r w:rsidR="00E20555" w:rsidRPr="00C562D6">
        <w:rPr>
          <w:rFonts w:ascii="Times New Roman" w:hAnsi="Times New Roman" w:cs="Times New Roman"/>
          <w:szCs w:val="24"/>
          <w:shd w:val="clear" w:color="auto" w:fill="FFFFFF"/>
        </w:rPr>
        <w:t>risks</w:t>
      </w:r>
      <w:r w:rsidR="00C4645C" w:rsidRPr="00C562D6">
        <w:rPr>
          <w:rFonts w:ascii="Times New Roman" w:hAnsi="Times New Roman" w:cs="Times New Roman"/>
          <w:szCs w:val="24"/>
          <w:shd w:val="clear" w:color="auto" w:fill="FFFFFF"/>
        </w:rPr>
        <w:t xml:space="preserve"> which will need the deployment of risk management techniques</w:t>
      </w:r>
      <w:r w:rsidR="00E20555" w:rsidRPr="00C562D6">
        <w:rPr>
          <w:rFonts w:ascii="Times New Roman" w:hAnsi="Times New Roman" w:cs="Times New Roman"/>
          <w:szCs w:val="24"/>
          <w:shd w:val="clear" w:color="auto" w:fill="FFFFFF"/>
        </w:rPr>
        <w:t xml:space="preserve">. </w:t>
      </w:r>
    </w:p>
    <w:p w:rsidR="00DE3879" w:rsidRPr="00C562D6" w:rsidRDefault="00DE3879" w:rsidP="00060A0D">
      <w:pPr>
        <w:spacing w:after="200" w:line="480" w:lineRule="auto"/>
        <w:jc w:val="both"/>
        <w:rPr>
          <w:rFonts w:ascii="Times New Roman" w:hAnsi="Times New Roman" w:cs="Times New Roman"/>
          <w:szCs w:val="24"/>
          <w:shd w:val="clear" w:color="auto" w:fill="FFFFFF"/>
        </w:rPr>
      </w:pPr>
      <w:r w:rsidRPr="00C562D6">
        <w:rPr>
          <w:rFonts w:ascii="Times New Roman" w:hAnsi="Times New Roman" w:cs="Times New Roman"/>
          <w:szCs w:val="24"/>
          <w:shd w:val="clear" w:color="auto" w:fill="FFFFFF"/>
        </w:rPr>
        <w:t>Applying the ideas of financiali</w:t>
      </w:r>
      <w:r w:rsidR="004F1BD9" w:rsidRPr="00C562D6">
        <w:rPr>
          <w:rFonts w:ascii="Times New Roman" w:hAnsi="Times New Roman" w:cs="Times New Roman"/>
          <w:szCs w:val="24"/>
          <w:shd w:val="clear" w:color="auto" w:fill="FFFFFF"/>
        </w:rPr>
        <w:t>z</w:t>
      </w:r>
      <w:r w:rsidRPr="00C562D6">
        <w:rPr>
          <w:rFonts w:ascii="Times New Roman" w:hAnsi="Times New Roman" w:cs="Times New Roman"/>
          <w:szCs w:val="24"/>
          <w:shd w:val="clear" w:color="auto" w:fill="FFFFFF"/>
        </w:rPr>
        <w:t>ation explored earlier to the development and pursuit of the Affordable Homes Programme (2011-15 and 2015-</w:t>
      </w:r>
      <w:r w:rsidR="00C4645C" w:rsidRPr="00C562D6">
        <w:rPr>
          <w:rFonts w:ascii="Times New Roman" w:hAnsi="Times New Roman" w:cs="Times New Roman"/>
          <w:szCs w:val="24"/>
          <w:shd w:val="clear" w:color="auto" w:fill="FFFFFF"/>
        </w:rPr>
        <w:t xml:space="preserve">18), there are </w:t>
      </w:r>
      <w:r w:rsidR="004F1BD9" w:rsidRPr="00C562D6">
        <w:rPr>
          <w:rFonts w:ascii="Times New Roman" w:hAnsi="Times New Roman" w:cs="Times New Roman"/>
          <w:szCs w:val="24"/>
          <w:shd w:val="clear" w:color="auto" w:fill="FFFFFF"/>
        </w:rPr>
        <w:t>two</w:t>
      </w:r>
      <w:r w:rsidR="00C4645C" w:rsidRPr="00C562D6">
        <w:rPr>
          <w:rFonts w:ascii="Times New Roman" w:hAnsi="Times New Roman" w:cs="Times New Roman"/>
          <w:szCs w:val="24"/>
          <w:shd w:val="clear" w:color="auto" w:fill="FFFFFF"/>
        </w:rPr>
        <w:t xml:space="preserve"> relevant</w:t>
      </w:r>
      <w:r w:rsidR="004F1BD9" w:rsidRPr="00C562D6">
        <w:rPr>
          <w:rFonts w:ascii="Times New Roman" w:hAnsi="Times New Roman" w:cs="Times New Roman"/>
          <w:szCs w:val="24"/>
          <w:shd w:val="clear" w:color="auto" w:fill="FFFFFF"/>
        </w:rPr>
        <w:t xml:space="preserve"> ideas</w:t>
      </w:r>
      <w:r w:rsidR="009B633B" w:rsidRPr="00C562D6">
        <w:rPr>
          <w:rFonts w:ascii="Times New Roman" w:hAnsi="Times New Roman" w:cs="Times New Roman"/>
          <w:szCs w:val="24"/>
          <w:shd w:val="clear" w:color="auto" w:fill="FFFFFF"/>
        </w:rPr>
        <w:t xml:space="preserve">. These are the increased debt levels </w:t>
      </w:r>
      <w:r w:rsidR="004F1BD9" w:rsidRPr="00C562D6">
        <w:rPr>
          <w:rFonts w:ascii="Times New Roman" w:hAnsi="Times New Roman" w:cs="Times New Roman"/>
          <w:szCs w:val="24"/>
          <w:shd w:val="clear" w:color="auto" w:fill="FFFFFF"/>
        </w:rPr>
        <w:t xml:space="preserve">and </w:t>
      </w:r>
      <w:r w:rsidR="009B633B" w:rsidRPr="00C562D6">
        <w:rPr>
          <w:rFonts w:ascii="Times New Roman" w:hAnsi="Times New Roman" w:cs="Times New Roman"/>
          <w:szCs w:val="24"/>
          <w:shd w:val="clear" w:color="auto" w:fill="FFFFFF"/>
        </w:rPr>
        <w:t xml:space="preserve">a focus on short-termism. </w:t>
      </w:r>
    </w:p>
    <w:p w:rsidR="0044298E" w:rsidRPr="00C562D6" w:rsidRDefault="00880B09" w:rsidP="00060A0D">
      <w:pPr>
        <w:spacing w:after="200" w:line="480" w:lineRule="auto"/>
        <w:jc w:val="both"/>
        <w:rPr>
          <w:rFonts w:ascii="Times New Roman" w:hAnsi="Times New Roman" w:cs="Times New Roman"/>
          <w:szCs w:val="24"/>
          <w:shd w:val="clear" w:color="auto" w:fill="FFFFFF"/>
        </w:rPr>
      </w:pPr>
      <w:r w:rsidRPr="00C562D6">
        <w:rPr>
          <w:rFonts w:ascii="Times New Roman" w:hAnsi="Times New Roman" w:cs="Times New Roman"/>
          <w:szCs w:val="24"/>
          <w:shd w:val="clear" w:color="auto" w:fill="FFFFFF"/>
        </w:rPr>
        <w:lastRenderedPageBreak/>
        <w:t>The most common theme of writers on financiali</w:t>
      </w:r>
      <w:r w:rsidR="004F1BD9" w:rsidRPr="00C562D6">
        <w:rPr>
          <w:rFonts w:ascii="Times New Roman" w:hAnsi="Times New Roman" w:cs="Times New Roman"/>
          <w:szCs w:val="24"/>
          <w:shd w:val="clear" w:color="auto" w:fill="FFFFFF"/>
        </w:rPr>
        <w:t>z</w:t>
      </w:r>
      <w:r w:rsidRPr="00C562D6">
        <w:rPr>
          <w:rFonts w:ascii="Times New Roman" w:hAnsi="Times New Roman" w:cs="Times New Roman"/>
          <w:szCs w:val="24"/>
          <w:shd w:val="clear" w:color="auto" w:fill="FFFFFF"/>
        </w:rPr>
        <w:t>ation is the increased power of finance</w:t>
      </w:r>
      <w:r w:rsidR="004F1BD9" w:rsidRPr="00C562D6">
        <w:rPr>
          <w:rFonts w:ascii="Times New Roman" w:hAnsi="Times New Roman" w:cs="Times New Roman"/>
          <w:szCs w:val="24"/>
          <w:shd w:val="clear" w:color="auto" w:fill="FFFFFF"/>
        </w:rPr>
        <w:t xml:space="preserve"> (or interest-bearing capital)</w:t>
      </w:r>
      <w:r w:rsidRPr="00C562D6">
        <w:rPr>
          <w:rFonts w:ascii="Times New Roman" w:hAnsi="Times New Roman" w:cs="Times New Roman"/>
          <w:szCs w:val="24"/>
          <w:shd w:val="clear" w:color="auto" w:fill="FFFFFF"/>
        </w:rPr>
        <w:t xml:space="preserve"> in the economy. In part this is a simple reflection of increased</w:t>
      </w:r>
      <w:r w:rsidR="009B633B" w:rsidRPr="00C562D6">
        <w:rPr>
          <w:rFonts w:ascii="Times New Roman" w:hAnsi="Times New Roman" w:cs="Times New Roman"/>
          <w:szCs w:val="24"/>
          <w:shd w:val="clear" w:color="auto" w:fill="FFFFFF"/>
        </w:rPr>
        <w:t xml:space="preserve"> debt levels</w:t>
      </w:r>
      <w:r w:rsidRPr="00C562D6">
        <w:rPr>
          <w:rFonts w:ascii="Times New Roman" w:hAnsi="Times New Roman" w:cs="Times New Roman"/>
          <w:szCs w:val="24"/>
          <w:shd w:val="clear" w:color="auto" w:fill="FFFFFF"/>
        </w:rPr>
        <w:t>. In the social housing sector the AHP is constructed in such a way</w:t>
      </w:r>
      <w:r w:rsidR="004F1BD9" w:rsidRPr="00C562D6">
        <w:rPr>
          <w:rFonts w:ascii="Times New Roman" w:hAnsi="Times New Roman" w:cs="Times New Roman"/>
          <w:szCs w:val="24"/>
          <w:shd w:val="clear" w:color="auto" w:fill="FFFFFF"/>
        </w:rPr>
        <w:t xml:space="preserve"> as</w:t>
      </w:r>
      <w:r w:rsidRPr="00C562D6">
        <w:rPr>
          <w:rFonts w:ascii="Times New Roman" w:hAnsi="Times New Roman" w:cs="Times New Roman"/>
          <w:szCs w:val="24"/>
          <w:shd w:val="clear" w:color="auto" w:fill="FFFFFF"/>
        </w:rPr>
        <w:t xml:space="preserve"> to increase debt</w:t>
      </w:r>
      <w:r w:rsidR="0044298E" w:rsidRPr="00C562D6">
        <w:rPr>
          <w:rFonts w:ascii="Times New Roman" w:hAnsi="Times New Roman" w:cs="Times New Roman"/>
          <w:szCs w:val="24"/>
          <w:shd w:val="clear" w:color="auto" w:fill="FFFFFF"/>
        </w:rPr>
        <w:t xml:space="preserve"> levels. This is a deliberate and conscious move on behalf of the government and can be seen</w:t>
      </w:r>
      <w:r w:rsidR="004F1BD9" w:rsidRPr="00C562D6">
        <w:rPr>
          <w:rFonts w:ascii="Times New Roman" w:hAnsi="Times New Roman" w:cs="Times New Roman"/>
          <w:szCs w:val="24"/>
          <w:shd w:val="clear" w:color="auto" w:fill="FFFFFF"/>
        </w:rPr>
        <w:t xml:space="preserve"> for example</w:t>
      </w:r>
      <w:r w:rsidR="0044298E" w:rsidRPr="00C562D6">
        <w:rPr>
          <w:rFonts w:ascii="Times New Roman" w:hAnsi="Times New Roman" w:cs="Times New Roman"/>
          <w:szCs w:val="24"/>
          <w:shd w:val="clear" w:color="auto" w:fill="FFFFFF"/>
        </w:rPr>
        <w:t xml:space="preserve"> in the development of the new affordable rent product to sustain the higher levels of debt.</w:t>
      </w:r>
      <w:r w:rsidR="004F1BD9" w:rsidRPr="00C562D6">
        <w:rPr>
          <w:rFonts w:ascii="Times New Roman" w:hAnsi="Times New Roman" w:cs="Times New Roman"/>
          <w:szCs w:val="24"/>
          <w:shd w:val="clear" w:color="auto" w:fill="FFFFFF"/>
        </w:rPr>
        <w:t xml:space="preserve"> It also fits with a common theme in housing finance where the government considers debt taken on board by housing associations as part of the private sector and so does not count towards their measure of public debt (PSND). PSND</w:t>
      </w:r>
      <w:r w:rsidR="00B37824" w:rsidRPr="00C562D6">
        <w:rPr>
          <w:rStyle w:val="FootnoteReference"/>
          <w:rFonts w:ascii="Times New Roman" w:hAnsi="Times New Roman" w:cs="Times New Roman"/>
          <w:szCs w:val="24"/>
          <w:shd w:val="clear" w:color="auto" w:fill="FFFFFF"/>
        </w:rPr>
        <w:footnoteReference w:id="14"/>
      </w:r>
      <w:r w:rsidR="004F1BD9" w:rsidRPr="00C562D6">
        <w:rPr>
          <w:rFonts w:ascii="Times New Roman" w:hAnsi="Times New Roman" w:cs="Times New Roman"/>
          <w:szCs w:val="24"/>
          <w:shd w:val="clear" w:color="auto" w:fill="FFFFFF"/>
        </w:rPr>
        <w:t xml:space="preserve"> as a measure </w:t>
      </w:r>
      <w:r w:rsidR="004F1BD9" w:rsidRPr="00C562D6">
        <w:rPr>
          <w:rFonts w:ascii="Times New Roman" w:hAnsi="Times New Roman" w:cs="Times New Roman"/>
        </w:rPr>
        <w:t>is out of line with those used by the EU, IMF, OECD and the credit rating agencies.</w:t>
      </w:r>
      <w:r w:rsidR="00397CFF" w:rsidRPr="00C562D6">
        <w:rPr>
          <w:rFonts w:ascii="Times New Roman" w:hAnsi="Times New Roman" w:cs="Times New Roman"/>
        </w:rPr>
        <w:t xml:space="preserve"> The point here is that government policy appears content to privatise the debt needed to build new homes, based on a socially constructed measure of public debt. </w:t>
      </w:r>
    </w:p>
    <w:p w:rsidR="009B633B" w:rsidRPr="00C562D6" w:rsidRDefault="0044298E" w:rsidP="00060A0D">
      <w:pPr>
        <w:spacing w:after="200" w:line="480" w:lineRule="auto"/>
        <w:jc w:val="both"/>
        <w:rPr>
          <w:rFonts w:ascii="Times New Roman" w:hAnsi="Times New Roman" w:cs="Times New Roman"/>
          <w:szCs w:val="24"/>
          <w:shd w:val="clear" w:color="auto" w:fill="FFFFFF"/>
        </w:rPr>
      </w:pPr>
      <w:r w:rsidRPr="00C562D6">
        <w:rPr>
          <w:rFonts w:ascii="Times New Roman" w:hAnsi="Times New Roman" w:cs="Times New Roman"/>
          <w:szCs w:val="24"/>
          <w:shd w:val="clear" w:color="auto" w:fill="FFFFFF"/>
        </w:rPr>
        <w:t xml:space="preserve">The focus on short-termism is not as immediately obvious either in the AHP or in the writing on </w:t>
      </w:r>
      <w:proofErr w:type="spellStart"/>
      <w:r w:rsidRPr="00C562D6">
        <w:rPr>
          <w:rFonts w:ascii="Times New Roman" w:hAnsi="Times New Roman" w:cs="Times New Roman"/>
          <w:szCs w:val="24"/>
          <w:shd w:val="clear" w:color="auto" w:fill="FFFFFF"/>
        </w:rPr>
        <w:t>financialisation</w:t>
      </w:r>
      <w:proofErr w:type="spellEnd"/>
      <w:r w:rsidRPr="00C562D6">
        <w:rPr>
          <w:rFonts w:ascii="Times New Roman" w:hAnsi="Times New Roman" w:cs="Times New Roman"/>
          <w:szCs w:val="24"/>
          <w:shd w:val="clear" w:color="auto" w:fill="FFFFFF"/>
        </w:rPr>
        <w:t xml:space="preserve"> but is no less an important element. In the AHP short-termism can be seen in two aspects. First, in the shift from upfront capital funding in the former of higher grants (under the NAHP) to a reliance on higher rent levels that increases </w:t>
      </w:r>
      <w:r w:rsidR="00AC6511" w:rsidRPr="00C562D6">
        <w:rPr>
          <w:rFonts w:ascii="Times New Roman" w:hAnsi="Times New Roman" w:cs="Times New Roman"/>
          <w:szCs w:val="24"/>
          <w:shd w:val="clear" w:color="auto" w:fill="FFFFFF"/>
        </w:rPr>
        <w:t>the benefits budget (i.e. revenue expenditure). This attitude is also seen in the value for money approach of the department and the HCA which was to deliver the largest number of homes given the funding available even if this produced a lower cost to benefit ratio for the government. The second aspect concerns the use of housing association resources, whethe</w:t>
      </w:r>
      <w:r w:rsidR="00DC15EF" w:rsidRPr="00C562D6">
        <w:rPr>
          <w:rFonts w:ascii="Times New Roman" w:hAnsi="Times New Roman" w:cs="Times New Roman"/>
          <w:szCs w:val="24"/>
          <w:shd w:val="clear" w:color="auto" w:fill="FFFFFF"/>
        </w:rPr>
        <w:t>r that is through the rationaliz</w:t>
      </w:r>
      <w:r w:rsidR="00AC6511" w:rsidRPr="00C562D6">
        <w:rPr>
          <w:rFonts w:ascii="Times New Roman" w:hAnsi="Times New Roman" w:cs="Times New Roman"/>
          <w:szCs w:val="24"/>
          <w:shd w:val="clear" w:color="auto" w:fill="FFFFFF"/>
        </w:rPr>
        <w:t>ation of housing stock (e.g. the sale of voids or conversion</w:t>
      </w:r>
      <w:r w:rsidR="008855D7" w:rsidRPr="00C562D6">
        <w:rPr>
          <w:rFonts w:ascii="Times New Roman" w:hAnsi="Times New Roman" w:cs="Times New Roman"/>
          <w:szCs w:val="24"/>
          <w:shd w:val="clear" w:color="auto" w:fill="FFFFFF"/>
        </w:rPr>
        <w:t>s of social rents to affordable rents) or utili</w:t>
      </w:r>
      <w:r w:rsidR="00DC15EF" w:rsidRPr="00C562D6">
        <w:rPr>
          <w:rFonts w:ascii="Times New Roman" w:hAnsi="Times New Roman" w:cs="Times New Roman"/>
          <w:szCs w:val="24"/>
          <w:shd w:val="clear" w:color="auto" w:fill="FFFFFF"/>
        </w:rPr>
        <w:t>z</w:t>
      </w:r>
      <w:r w:rsidR="008855D7" w:rsidRPr="00C562D6">
        <w:rPr>
          <w:rFonts w:ascii="Times New Roman" w:hAnsi="Times New Roman" w:cs="Times New Roman"/>
          <w:szCs w:val="24"/>
          <w:shd w:val="clear" w:color="auto" w:fill="FFFFFF"/>
        </w:rPr>
        <w:t xml:space="preserve">ing any spare capacity in debt covenants. These are one time funding manoeuvres, which are considered to be unsustainable as a long term funding model. </w:t>
      </w:r>
      <w:r w:rsidR="00AC6511" w:rsidRPr="00C562D6">
        <w:rPr>
          <w:rFonts w:ascii="Times New Roman" w:hAnsi="Times New Roman" w:cs="Times New Roman"/>
          <w:szCs w:val="24"/>
          <w:shd w:val="clear" w:color="auto" w:fill="FFFFFF"/>
        </w:rPr>
        <w:t xml:space="preserve"> </w:t>
      </w:r>
      <w:r w:rsidR="00880B09" w:rsidRPr="00C562D6">
        <w:rPr>
          <w:rFonts w:ascii="Times New Roman" w:hAnsi="Times New Roman" w:cs="Times New Roman"/>
          <w:szCs w:val="24"/>
          <w:shd w:val="clear" w:color="auto" w:fill="FFFFFF"/>
        </w:rPr>
        <w:t xml:space="preserve"> </w:t>
      </w:r>
    </w:p>
    <w:p w:rsidR="00A8150E" w:rsidRPr="00C562D6" w:rsidRDefault="00A8150E" w:rsidP="00A8150E">
      <w:pPr>
        <w:spacing w:after="200" w:line="480" w:lineRule="auto"/>
        <w:jc w:val="both"/>
        <w:rPr>
          <w:rFonts w:ascii="Times New Roman" w:hAnsi="Times New Roman" w:cs="Times New Roman"/>
          <w:szCs w:val="24"/>
          <w:shd w:val="clear" w:color="auto" w:fill="FFFFFF"/>
        </w:rPr>
      </w:pPr>
      <w:r w:rsidRPr="00C562D6">
        <w:rPr>
          <w:rFonts w:ascii="Times New Roman" w:hAnsi="Times New Roman" w:cs="Times New Roman"/>
          <w:szCs w:val="24"/>
          <w:shd w:val="clear" w:color="auto" w:fill="FFFFFF"/>
        </w:rPr>
        <w:lastRenderedPageBreak/>
        <w:t>Both these aspects of short-termism correspond to an aspect of the shareholder value revolution identified by Cooper (2014), where corporations are devouring their own resources to maintain their share price in the short-term.</w:t>
      </w:r>
    </w:p>
    <w:p w:rsidR="00270D1E" w:rsidRPr="00C562D6" w:rsidRDefault="00270D1E" w:rsidP="00060A0D">
      <w:pPr>
        <w:spacing w:after="200" w:line="480" w:lineRule="auto"/>
        <w:jc w:val="both"/>
        <w:rPr>
          <w:rFonts w:ascii="Times New Roman" w:hAnsi="Times New Roman" w:cs="Times New Roman"/>
          <w:szCs w:val="24"/>
          <w:shd w:val="clear" w:color="auto" w:fill="FFFFFF"/>
        </w:rPr>
      </w:pPr>
      <w:r w:rsidRPr="00C562D6">
        <w:rPr>
          <w:rFonts w:ascii="Times New Roman" w:hAnsi="Times New Roman" w:cs="Times New Roman"/>
          <w:szCs w:val="24"/>
          <w:shd w:val="clear" w:color="auto" w:fill="FFFFFF"/>
        </w:rPr>
        <w:t xml:space="preserve">There </w:t>
      </w:r>
      <w:r w:rsidR="00A8150E" w:rsidRPr="00C562D6">
        <w:rPr>
          <w:rFonts w:ascii="Times New Roman" w:hAnsi="Times New Roman" w:cs="Times New Roman"/>
          <w:szCs w:val="24"/>
          <w:shd w:val="clear" w:color="auto" w:fill="FFFFFF"/>
        </w:rPr>
        <w:t>are also</w:t>
      </w:r>
      <w:r w:rsidRPr="00C562D6">
        <w:rPr>
          <w:rFonts w:ascii="Times New Roman" w:hAnsi="Times New Roman" w:cs="Times New Roman"/>
          <w:szCs w:val="24"/>
          <w:shd w:val="clear" w:color="auto" w:fill="FFFFFF"/>
        </w:rPr>
        <w:t xml:space="preserve"> element</w:t>
      </w:r>
      <w:r w:rsidR="00A8150E" w:rsidRPr="00C562D6">
        <w:rPr>
          <w:rFonts w:ascii="Times New Roman" w:hAnsi="Times New Roman" w:cs="Times New Roman"/>
          <w:szCs w:val="24"/>
          <w:shd w:val="clear" w:color="auto" w:fill="FFFFFF"/>
        </w:rPr>
        <w:t>s</w:t>
      </w:r>
      <w:r w:rsidRPr="00C562D6">
        <w:rPr>
          <w:rFonts w:ascii="Times New Roman" w:hAnsi="Times New Roman" w:cs="Times New Roman"/>
          <w:szCs w:val="24"/>
          <w:shd w:val="clear" w:color="auto" w:fill="FFFFFF"/>
        </w:rPr>
        <w:t xml:space="preserve"> of accumulation by dispossession</w:t>
      </w:r>
      <w:r w:rsidR="00A8150E" w:rsidRPr="00C562D6">
        <w:rPr>
          <w:rFonts w:ascii="Times New Roman" w:hAnsi="Times New Roman" w:cs="Times New Roman"/>
          <w:szCs w:val="24"/>
          <w:shd w:val="clear" w:color="auto" w:fill="FFFFFF"/>
        </w:rPr>
        <w:t xml:space="preserve"> (Harvey, 2005)</w:t>
      </w:r>
      <w:r w:rsidRPr="00C562D6">
        <w:rPr>
          <w:rFonts w:ascii="Times New Roman" w:hAnsi="Times New Roman" w:cs="Times New Roman"/>
          <w:szCs w:val="24"/>
          <w:shd w:val="clear" w:color="auto" w:fill="FFFFFF"/>
        </w:rPr>
        <w:t xml:space="preserve"> present at the heart of the AHP. As part of filling the gap in funding left by the reduction in grant levels, the government expects that local authorities will hand over land to the </w:t>
      </w:r>
      <w:r w:rsidR="00A8150E" w:rsidRPr="00C562D6">
        <w:rPr>
          <w:rFonts w:ascii="Times New Roman" w:hAnsi="Times New Roman" w:cs="Times New Roman"/>
          <w:szCs w:val="24"/>
          <w:shd w:val="clear" w:color="auto" w:fill="FFFFFF"/>
        </w:rPr>
        <w:t>developing</w:t>
      </w:r>
      <w:r w:rsidRPr="00C562D6">
        <w:rPr>
          <w:rFonts w:ascii="Times New Roman" w:hAnsi="Times New Roman" w:cs="Times New Roman"/>
          <w:szCs w:val="24"/>
          <w:shd w:val="clear" w:color="auto" w:fill="FFFFFF"/>
        </w:rPr>
        <w:t xml:space="preserve"> housing associations</w:t>
      </w:r>
      <w:r w:rsidR="00A8150E" w:rsidRPr="00C562D6">
        <w:rPr>
          <w:rFonts w:ascii="Times New Roman" w:hAnsi="Times New Roman" w:cs="Times New Roman"/>
          <w:szCs w:val="24"/>
          <w:shd w:val="clear" w:color="auto" w:fill="FFFFFF"/>
        </w:rPr>
        <w:t xml:space="preserve"> either free or at a discount. This land will then be used for the housing associations (whose are in the main private limited companies) to exploit so that they can make profitable returns. </w:t>
      </w:r>
      <w:r w:rsidR="00F84D0B" w:rsidRPr="00C562D6">
        <w:rPr>
          <w:rFonts w:ascii="Times New Roman" w:hAnsi="Times New Roman" w:cs="Times New Roman"/>
          <w:szCs w:val="24"/>
          <w:shd w:val="clear" w:color="auto" w:fill="FFFFFF"/>
        </w:rPr>
        <w:t>But the housing associations are not the end beneficiaries of this dispossession process.</w:t>
      </w:r>
      <w:r w:rsidR="00AC45C1" w:rsidRPr="00C562D6">
        <w:rPr>
          <w:rFonts w:ascii="Times New Roman" w:hAnsi="Times New Roman" w:cs="Times New Roman"/>
          <w:szCs w:val="24"/>
          <w:shd w:val="clear" w:color="auto" w:fill="FFFFFF"/>
        </w:rPr>
        <w:t xml:space="preserve"> As the housing associations become more indebted the cost of maintaining that debt also increases, resulting in </w:t>
      </w:r>
      <w:r w:rsidR="00457835" w:rsidRPr="00C562D6">
        <w:rPr>
          <w:rFonts w:ascii="Times New Roman" w:hAnsi="Times New Roman" w:cs="Times New Roman"/>
          <w:szCs w:val="24"/>
          <w:shd w:val="clear" w:color="auto" w:fill="FFFFFF"/>
        </w:rPr>
        <w:t>accumulation of profits for the finance providers.</w:t>
      </w:r>
    </w:p>
    <w:p w:rsidR="00457835" w:rsidRPr="00C562D6" w:rsidRDefault="00457835" w:rsidP="00060A0D">
      <w:pPr>
        <w:spacing w:after="200" w:line="480" w:lineRule="auto"/>
        <w:jc w:val="both"/>
        <w:rPr>
          <w:rFonts w:ascii="Times New Roman" w:hAnsi="Times New Roman" w:cs="Times New Roman"/>
          <w:szCs w:val="24"/>
          <w:shd w:val="clear" w:color="auto" w:fill="FFFFFF"/>
        </w:rPr>
      </w:pPr>
      <w:r w:rsidRPr="00C562D6">
        <w:rPr>
          <w:rFonts w:ascii="Times New Roman" w:hAnsi="Times New Roman" w:cs="Times New Roman"/>
          <w:szCs w:val="24"/>
          <w:shd w:val="clear" w:color="auto" w:fill="FFFFFF"/>
        </w:rPr>
        <w:t>The impact of this increased private finance in the sector is going to have long term consequences, some of which we are already glimpsing</w:t>
      </w:r>
      <w:r w:rsidR="001B2960" w:rsidRPr="00C562D6">
        <w:rPr>
          <w:rFonts w:ascii="Times New Roman" w:hAnsi="Times New Roman" w:cs="Times New Roman"/>
          <w:szCs w:val="24"/>
          <w:shd w:val="clear" w:color="auto" w:fill="FFFFFF"/>
        </w:rPr>
        <w:t xml:space="preserve"> with pressure on developing housing associations to move away their social rented mission to intermediate and full market price homes (whether for sale or rented); a change in accountability relations where management become focussed on the latest credit rating agency evaluation. Ultimately, there is a debt bubble being inflated in the sector which at some point, unless there is a change in the direction of housing policy will become unsustainable. Based on previous experience when such a crisis occurs the government of the day will favour the financial institutions</w:t>
      </w:r>
      <w:r w:rsidR="002E399F" w:rsidRPr="00C562D6">
        <w:rPr>
          <w:rFonts w:ascii="Times New Roman" w:hAnsi="Times New Roman" w:cs="Times New Roman"/>
          <w:szCs w:val="24"/>
          <w:shd w:val="clear" w:color="auto" w:fill="FFFFFF"/>
        </w:rPr>
        <w:t xml:space="preserve"> who lent the money (Harvey, 2005) covering their debts or bailing them out, rather than the tenants who will be suffering increasing rents and eviction rates.</w:t>
      </w:r>
      <w:r w:rsidR="001B2960" w:rsidRPr="00C562D6">
        <w:rPr>
          <w:rFonts w:ascii="Times New Roman" w:hAnsi="Times New Roman" w:cs="Times New Roman"/>
          <w:szCs w:val="24"/>
          <w:shd w:val="clear" w:color="auto" w:fill="FFFFFF"/>
        </w:rPr>
        <w:t xml:space="preserve"> </w:t>
      </w:r>
    </w:p>
    <w:p w:rsidR="001457C5" w:rsidRPr="00C562D6" w:rsidRDefault="002E399F" w:rsidP="00060A0D">
      <w:pPr>
        <w:spacing w:line="480" w:lineRule="auto"/>
        <w:jc w:val="both"/>
        <w:rPr>
          <w:rFonts w:ascii="Times New Roman" w:hAnsi="Times New Roman" w:cs="Times New Roman"/>
          <w:szCs w:val="24"/>
        </w:rPr>
      </w:pPr>
      <w:r w:rsidRPr="00C562D6">
        <w:rPr>
          <w:rFonts w:ascii="Times New Roman" w:hAnsi="Times New Roman" w:cs="Times New Roman"/>
          <w:szCs w:val="24"/>
        </w:rPr>
        <w:t>More immediately, a</w:t>
      </w:r>
      <w:r w:rsidR="007E041C" w:rsidRPr="00C562D6">
        <w:rPr>
          <w:rFonts w:ascii="Times New Roman" w:hAnsi="Times New Roman" w:cs="Times New Roman"/>
          <w:szCs w:val="24"/>
        </w:rPr>
        <w:t>t a time when the housing market is showing ample signs of dysfunctionality with both a lack of supply (Lyons</w:t>
      </w:r>
      <w:r w:rsidR="00DC15EF" w:rsidRPr="00C562D6">
        <w:rPr>
          <w:rFonts w:ascii="Times New Roman" w:hAnsi="Times New Roman" w:cs="Times New Roman"/>
          <w:szCs w:val="24"/>
        </w:rPr>
        <w:t xml:space="preserve"> Housing Review</w:t>
      </w:r>
      <w:r w:rsidR="007E041C" w:rsidRPr="00C562D6">
        <w:rPr>
          <w:rFonts w:ascii="Times New Roman" w:hAnsi="Times New Roman" w:cs="Times New Roman"/>
          <w:szCs w:val="24"/>
        </w:rPr>
        <w:t xml:space="preserve">, 2014) and damaging </w:t>
      </w:r>
      <w:r w:rsidR="007E041C" w:rsidRPr="00C562D6">
        <w:rPr>
          <w:rFonts w:ascii="Times New Roman" w:hAnsi="Times New Roman" w:cs="Times New Roman"/>
          <w:szCs w:val="24"/>
        </w:rPr>
        <w:lastRenderedPageBreak/>
        <w:t>inequalities (Dorling, 2014), the policies adopted by the Coalition government are moulded in the</w:t>
      </w:r>
      <w:r w:rsidR="00DC15EF" w:rsidRPr="00C562D6">
        <w:rPr>
          <w:rFonts w:ascii="Times New Roman" w:hAnsi="Times New Roman" w:cs="Times New Roman"/>
          <w:szCs w:val="24"/>
        </w:rPr>
        <w:t xml:space="preserve"> same</w:t>
      </w:r>
      <w:r w:rsidR="007E041C" w:rsidRPr="00C562D6">
        <w:rPr>
          <w:rFonts w:ascii="Times New Roman" w:hAnsi="Times New Roman" w:cs="Times New Roman"/>
          <w:szCs w:val="24"/>
        </w:rPr>
        <w:t xml:space="preserve"> thinking that brought the financial crisis and great recession of 2008. There is a need to both redistribute access to housing and address the undersupply of non-market housing across all regions in England. Neither of which </w:t>
      </w:r>
      <w:r w:rsidR="00DC15EF" w:rsidRPr="00C562D6">
        <w:rPr>
          <w:rFonts w:ascii="Times New Roman" w:hAnsi="Times New Roman" w:cs="Times New Roman"/>
          <w:szCs w:val="24"/>
        </w:rPr>
        <w:t>is</w:t>
      </w:r>
      <w:r w:rsidR="007E041C" w:rsidRPr="00C562D6">
        <w:rPr>
          <w:rFonts w:ascii="Times New Roman" w:hAnsi="Times New Roman" w:cs="Times New Roman"/>
          <w:szCs w:val="24"/>
        </w:rPr>
        <w:t xml:space="preserve"> the current Affordable Homes Programme capable of doing.</w:t>
      </w:r>
    </w:p>
    <w:p w:rsidR="00E32819" w:rsidRPr="00C562D6" w:rsidRDefault="00E32819" w:rsidP="00060A0D">
      <w:pPr>
        <w:spacing w:after="200" w:line="480" w:lineRule="auto"/>
        <w:rPr>
          <w:rFonts w:ascii="Times New Roman" w:hAnsi="Times New Roman" w:cs="Times New Roman"/>
          <w:b/>
          <w:szCs w:val="24"/>
        </w:rPr>
      </w:pPr>
      <w:r w:rsidRPr="00C562D6">
        <w:rPr>
          <w:rFonts w:ascii="Times New Roman" w:hAnsi="Times New Roman" w:cs="Times New Roman"/>
          <w:b/>
          <w:szCs w:val="24"/>
        </w:rPr>
        <w:br w:type="page"/>
      </w:r>
    </w:p>
    <w:p w:rsidR="001457C5" w:rsidRPr="00C562D6" w:rsidRDefault="00A72621" w:rsidP="00060A0D">
      <w:pPr>
        <w:spacing w:line="360" w:lineRule="auto"/>
        <w:jc w:val="center"/>
        <w:rPr>
          <w:rFonts w:ascii="Times New Roman" w:hAnsi="Times New Roman" w:cs="Times New Roman"/>
          <w:b/>
          <w:szCs w:val="24"/>
        </w:rPr>
      </w:pPr>
      <w:r w:rsidRPr="00C562D6">
        <w:rPr>
          <w:rFonts w:ascii="Times New Roman" w:hAnsi="Times New Roman" w:cs="Times New Roman"/>
          <w:b/>
          <w:szCs w:val="24"/>
        </w:rPr>
        <w:lastRenderedPageBreak/>
        <w:t>TABLE 1 – Main features of Affordable Homes Programmes</w:t>
      </w:r>
    </w:p>
    <w:tbl>
      <w:tblPr>
        <w:tblStyle w:val="TableGrid"/>
        <w:tblW w:w="0" w:type="auto"/>
        <w:tblLook w:val="04A0" w:firstRow="1" w:lastRow="0" w:firstColumn="1" w:lastColumn="0" w:noHBand="0" w:noVBand="1"/>
      </w:tblPr>
      <w:tblGrid>
        <w:gridCol w:w="2310"/>
        <w:gridCol w:w="2310"/>
        <w:gridCol w:w="2311"/>
        <w:gridCol w:w="2311"/>
      </w:tblGrid>
      <w:tr w:rsidR="00760560" w:rsidRPr="00C562D6" w:rsidTr="00760560">
        <w:tc>
          <w:tcPr>
            <w:tcW w:w="2310" w:type="dxa"/>
          </w:tcPr>
          <w:p w:rsidR="00760560" w:rsidRPr="00C562D6" w:rsidRDefault="00760560" w:rsidP="00060A0D">
            <w:pPr>
              <w:spacing w:after="200" w:line="360" w:lineRule="auto"/>
              <w:rPr>
                <w:rFonts w:ascii="Times New Roman" w:hAnsi="Times New Roman" w:cs="Times New Roman"/>
                <w:szCs w:val="24"/>
              </w:rPr>
            </w:pPr>
          </w:p>
        </w:tc>
        <w:tc>
          <w:tcPr>
            <w:tcW w:w="2310" w:type="dxa"/>
          </w:tcPr>
          <w:p w:rsidR="00760560" w:rsidRPr="00C562D6" w:rsidRDefault="00760560" w:rsidP="00060A0D">
            <w:pPr>
              <w:spacing w:after="200" w:line="360" w:lineRule="auto"/>
              <w:rPr>
                <w:rFonts w:ascii="Times New Roman" w:hAnsi="Times New Roman" w:cs="Times New Roman"/>
                <w:i/>
                <w:szCs w:val="24"/>
              </w:rPr>
            </w:pPr>
            <w:r w:rsidRPr="00C562D6">
              <w:rPr>
                <w:rFonts w:ascii="Times New Roman" w:hAnsi="Times New Roman" w:cs="Times New Roman"/>
                <w:i/>
                <w:szCs w:val="24"/>
              </w:rPr>
              <w:t>National Affordable Homes Programme</w:t>
            </w:r>
            <w:r w:rsidR="00A72621" w:rsidRPr="00C562D6">
              <w:rPr>
                <w:rFonts w:ascii="Times New Roman" w:hAnsi="Times New Roman" w:cs="Times New Roman"/>
                <w:i/>
                <w:szCs w:val="24"/>
              </w:rPr>
              <w:t xml:space="preserve"> 2008-11</w:t>
            </w:r>
          </w:p>
        </w:tc>
        <w:tc>
          <w:tcPr>
            <w:tcW w:w="2311" w:type="dxa"/>
          </w:tcPr>
          <w:p w:rsidR="00760560" w:rsidRPr="00C562D6" w:rsidRDefault="00760560" w:rsidP="00060A0D">
            <w:pPr>
              <w:spacing w:after="200" w:line="360" w:lineRule="auto"/>
              <w:rPr>
                <w:rFonts w:ascii="Times New Roman" w:hAnsi="Times New Roman" w:cs="Times New Roman"/>
                <w:i/>
                <w:szCs w:val="24"/>
              </w:rPr>
            </w:pPr>
            <w:r w:rsidRPr="00C562D6">
              <w:rPr>
                <w:rFonts w:ascii="Times New Roman" w:hAnsi="Times New Roman" w:cs="Times New Roman"/>
                <w:i/>
                <w:szCs w:val="24"/>
              </w:rPr>
              <w:t>Affordable Homes Programme 2011-15</w:t>
            </w:r>
          </w:p>
        </w:tc>
        <w:tc>
          <w:tcPr>
            <w:tcW w:w="2311" w:type="dxa"/>
          </w:tcPr>
          <w:p w:rsidR="00760560" w:rsidRPr="00C562D6" w:rsidRDefault="00760560" w:rsidP="00060A0D">
            <w:pPr>
              <w:spacing w:after="200" w:line="360" w:lineRule="auto"/>
              <w:rPr>
                <w:rFonts w:ascii="Times New Roman" w:hAnsi="Times New Roman" w:cs="Times New Roman"/>
                <w:i/>
                <w:szCs w:val="24"/>
              </w:rPr>
            </w:pPr>
            <w:r w:rsidRPr="00C562D6">
              <w:rPr>
                <w:rFonts w:ascii="Times New Roman" w:hAnsi="Times New Roman" w:cs="Times New Roman"/>
                <w:i/>
                <w:szCs w:val="24"/>
              </w:rPr>
              <w:t>Affordable Homes Programme 2015-18</w:t>
            </w:r>
          </w:p>
        </w:tc>
      </w:tr>
      <w:tr w:rsidR="00760560" w:rsidRPr="00C562D6" w:rsidTr="00760560">
        <w:tc>
          <w:tcPr>
            <w:tcW w:w="2310" w:type="dxa"/>
          </w:tcPr>
          <w:p w:rsidR="00760560" w:rsidRPr="00C562D6" w:rsidRDefault="00E32819" w:rsidP="00EB4A0A">
            <w:pPr>
              <w:spacing w:after="200" w:line="276" w:lineRule="auto"/>
              <w:rPr>
                <w:rFonts w:ascii="Times New Roman" w:hAnsi="Times New Roman" w:cs="Times New Roman"/>
                <w:szCs w:val="24"/>
              </w:rPr>
            </w:pPr>
            <w:r w:rsidRPr="00C562D6">
              <w:rPr>
                <w:rFonts w:ascii="Times New Roman" w:hAnsi="Times New Roman" w:cs="Times New Roman"/>
                <w:szCs w:val="24"/>
              </w:rPr>
              <w:t>Planned /approved units</w:t>
            </w:r>
          </w:p>
        </w:tc>
        <w:tc>
          <w:tcPr>
            <w:tcW w:w="2310" w:type="dxa"/>
          </w:tcPr>
          <w:p w:rsidR="00760560" w:rsidRPr="00C562D6" w:rsidRDefault="00E32819" w:rsidP="00EB4A0A">
            <w:pPr>
              <w:spacing w:after="200" w:line="276" w:lineRule="auto"/>
              <w:rPr>
                <w:rFonts w:ascii="Times New Roman" w:hAnsi="Times New Roman" w:cs="Times New Roman"/>
                <w:szCs w:val="24"/>
              </w:rPr>
            </w:pPr>
            <w:r w:rsidRPr="00C562D6">
              <w:rPr>
                <w:rFonts w:ascii="Times New Roman" w:hAnsi="Times New Roman" w:cs="Times New Roman"/>
                <w:szCs w:val="24"/>
              </w:rPr>
              <w:t>173,900</w:t>
            </w:r>
          </w:p>
        </w:tc>
        <w:tc>
          <w:tcPr>
            <w:tcW w:w="2311" w:type="dxa"/>
          </w:tcPr>
          <w:p w:rsidR="00760560" w:rsidRPr="00C562D6" w:rsidRDefault="00AC173F" w:rsidP="00EB4A0A">
            <w:pPr>
              <w:spacing w:after="200" w:line="276" w:lineRule="auto"/>
              <w:rPr>
                <w:rFonts w:ascii="Times New Roman" w:hAnsi="Times New Roman" w:cs="Times New Roman"/>
                <w:szCs w:val="24"/>
              </w:rPr>
            </w:pPr>
            <w:r w:rsidRPr="00C562D6">
              <w:rPr>
                <w:rFonts w:ascii="Times New Roman" w:hAnsi="Times New Roman" w:cs="Times New Roman"/>
                <w:szCs w:val="24"/>
              </w:rPr>
              <w:t>80,000</w:t>
            </w:r>
          </w:p>
        </w:tc>
        <w:tc>
          <w:tcPr>
            <w:tcW w:w="2311" w:type="dxa"/>
          </w:tcPr>
          <w:p w:rsidR="00760560" w:rsidRPr="00C562D6" w:rsidRDefault="00E32819" w:rsidP="00EB4A0A">
            <w:pPr>
              <w:spacing w:after="200" w:line="276" w:lineRule="auto"/>
              <w:rPr>
                <w:rFonts w:ascii="Times New Roman" w:hAnsi="Times New Roman" w:cs="Times New Roman"/>
                <w:szCs w:val="24"/>
              </w:rPr>
            </w:pPr>
            <w:r w:rsidRPr="00C562D6">
              <w:rPr>
                <w:rFonts w:ascii="Times New Roman" w:hAnsi="Times New Roman" w:cs="Times New Roman"/>
                <w:szCs w:val="24"/>
              </w:rPr>
              <w:t>55,000</w:t>
            </w:r>
          </w:p>
        </w:tc>
      </w:tr>
      <w:tr w:rsidR="00760560" w:rsidRPr="00C562D6" w:rsidTr="00760560">
        <w:tc>
          <w:tcPr>
            <w:tcW w:w="2310" w:type="dxa"/>
          </w:tcPr>
          <w:p w:rsidR="00760560" w:rsidRPr="00C562D6" w:rsidRDefault="00760560" w:rsidP="00EB4A0A">
            <w:pPr>
              <w:spacing w:after="200" w:line="276" w:lineRule="auto"/>
              <w:rPr>
                <w:rFonts w:ascii="Times New Roman" w:hAnsi="Times New Roman" w:cs="Times New Roman"/>
                <w:szCs w:val="24"/>
              </w:rPr>
            </w:pPr>
            <w:r w:rsidRPr="00C562D6">
              <w:rPr>
                <w:rFonts w:ascii="Times New Roman" w:hAnsi="Times New Roman" w:cs="Times New Roman"/>
                <w:szCs w:val="24"/>
              </w:rPr>
              <w:t>Government investment</w:t>
            </w:r>
          </w:p>
        </w:tc>
        <w:tc>
          <w:tcPr>
            <w:tcW w:w="2310" w:type="dxa"/>
          </w:tcPr>
          <w:p w:rsidR="00760560" w:rsidRPr="00C562D6" w:rsidRDefault="00760560" w:rsidP="00EB4A0A">
            <w:pPr>
              <w:spacing w:after="200" w:line="276" w:lineRule="auto"/>
              <w:rPr>
                <w:rFonts w:ascii="Times New Roman" w:hAnsi="Times New Roman" w:cs="Times New Roman"/>
                <w:szCs w:val="24"/>
              </w:rPr>
            </w:pPr>
            <w:r w:rsidRPr="00C562D6">
              <w:rPr>
                <w:rFonts w:ascii="Times New Roman" w:hAnsi="Times New Roman" w:cs="Times New Roman"/>
                <w:szCs w:val="24"/>
              </w:rPr>
              <w:t>£ 8</w:t>
            </w:r>
            <w:r w:rsidR="00E32819" w:rsidRPr="00C562D6">
              <w:rPr>
                <w:rFonts w:ascii="Times New Roman" w:hAnsi="Times New Roman" w:cs="Times New Roman"/>
                <w:szCs w:val="24"/>
              </w:rPr>
              <w:t>.9</w:t>
            </w:r>
            <w:r w:rsidRPr="00C562D6">
              <w:rPr>
                <w:rFonts w:ascii="Times New Roman" w:hAnsi="Times New Roman" w:cs="Times New Roman"/>
                <w:szCs w:val="24"/>
              </w:rPr>
              <w:t xml:space="preserve"> billion</w:t>
            </w:r>
          </w:p>
        </w:tc>
        <w:tc>
          <w:tcPr>
            <w:tcW w:w="2311" w:type="dxa"/>
          </w:tcPr>
          <w:p w:rsidR="00760560" w:rsidRPr="00C562D6" w:rsidRDefault="00760560" w:rsidP="00EB4A0A">
            <w:pPr>
              <w:spacing w:after="200" w:line="276" w:lineRule="auto"/>
              <w:rPr>
                <w:rFonts w:ascii="Times New Roman" w:hAnsi="Times New Roman" w:cs="Times New Roman"/>
                <w:szCs w:val="24"/>
              </w:rPr>
            </w:pPr>
            <w:r w:rsidRPr="00C562D6">
              <w:rPr>
                <w:rFonts w:ascii="Times New Roman" w:hAnsi="Times New Roman" w:cs="Times New Roman"/>
                <w:szCs w:val="24"/>
              </w:rPr>
              <w:t xml:space="preserve">£ </w:t>
            </w:r>
            <w:r w:rsidR="00123A36" w:rsidRPr="00C562D6">
              <w:rPr>
                <w:rFonts w:ascii="Times New Roman" w:hAnsi="Times New Roman" w:cs="Times New Roman"/>
                <w:szCs w:val="24"/>
              </w:rPr>
              <w:t>1.8</w:t>
            </w:r>
            <w:r w:rsidRPr="00C562D6">
              <w:rPr>
                <w:rFonts w:ascii="Times New Roman" w:hAnsi="Times New Roman" w:cs="Times New Roman"/>
                <w:szCs w:val="24"/>
              </w:rPr>
              <w:t xml:space="preserve"> billion</w:t>
            </w:r>
          </w:p>
        </w:tc>
        <w:tc>
          <w:tcPr>
            <w:tcW w:w="2311" w:type="dxa"/>
          </w:tcPr>
          <w:p w:rsidR="00760560" w:rsidRPr="00C562D6" w:rsidRDefault="00760560" w:rsidP="00EB4A0A">
            <w:pPr>
              <w:spacing w:after="200" w:line="276" w:lineRule="auto"/>
              <w:rPr>
                <w:rFonts w:ascii="Times New Roman" w:hAnsi="Times New Roman" w:cs="Times New Roman"/>
                <w:szCs w:val="24"/>
              </w:rPr>
            </w:pPr>
            <w:r w:rsidRPr="00C562D6">
              <w:rPr>
                <w:rFonts w:ascii="Times New Roman" w:hAnsi="Times New Roman" w:cs="Times New Roman"/>
                <w:szCs w:val="24"/>
              </w:rPr>
              <w:t>£ 2.</w:t>
            </w:r>
            <w:r w:rsidR="00E32819" w:rsidRPr="00C562D6">
              <w:rPr>
                <w:rFonts w:ascii="Times New Roman" w:hAnsi="Times New Roman" w:cs="Times New Roman"/>
                <w:szCs w:val="24"/>
              </w:rPr>
              <w:t>8</w:t>
            </w:r>
            <w:r w:rsidRPr="00C562D6">
              <w:rPr>
                <w:rFonts w:ascii="Times New Roman" w:hAnsi="Times New Roman" w:cs="Times New Roman"/>
                <w:szCs w:val="24"/>
              </w:rPr>
              <w:t xml:space="preserve"> billion</w:t>
            </w:r>
          </w:p>
        </w:tc>
      </w:tr>
      <w:tr w:rsidR="00760560" w:rsidRPr="00C562D6" w:rsidTr="00760560">
        <w:tc>
          <w:tcPr>
            <w:tcW w:w="2310" w:type="dxa"/>
          </w:tcPr>
          <w:p w:rsidR="00760560" w:rsidRPr="00C562D6" w:rsidRDefault="00760560" w:rsidP="00EB4A0A">
            <w:pPr>
              <w:spacing w:after="200" w:line="276" w:lineRule="auto"/>
              <w:rPr>
                <w:rFonts w:ascii="Times New Roman" w:hAnsi="Times New Roman" w:cs="Times New Roman"/>
                <w:szCs w:val="24"/>
              </w:rPr>
            </w:pPr>
            <w:r w:rsidRPr="00C562D6">
              <w:rPr>
                <w:rFonts w:ascii="Times New Roman" w:hAnsi="Times New Roman" w:cs="Times New Roman"/>
                <w:szCs w:val="24"/>
              </w:rPr>
              <w:t>Delivery Model</w:t>
            </w:r>
          </w:p>
        </w:tc>
        <w:tc>
          <w:tcPr>
            <w:tcW w:w="2310" w:type="dxa"/>
          </w:tcPr>
          <w:p w:rsidR="00760560" w:rsidRPr="00C562D6" w:rsidRDefault="00760560" w:rsidP="00EB4A0A">
            <w:pPr>
              <w:spacing w:line="276" w:lineRule="auto"/>
              <w:rPr>
                <w:rFonts w:ascii="Times New Roman" w:hAnsi="Times New Roman" w:cs="Times New Roman"/>
                <w:szCs w:val="24"/>
              </w:rPr>
            </w:pPr>
            <w:r w:rsidRPr="00C562D6">
              <w:rPr>
                <w:rFonts w:ascii="Times New Roman" w:hAnsi="Times New Roman" w:cs="Times New Roman"/>
                <w:szCs w:val="24"/>
              </w:rPr>
              <w:t>Scheme by scheme evaluation using:</w:t>
            </w:r>
          </w:p>
          <w:p w:rsidR="00760560" w:rsidRPr="00C562D6" w:rsidRDefault="00760560" w:rsidP="00EB4A0A">
            <w:pPr>
              <w:pStyle w:val="ListParagraph"/>
              <w:numPr>
                <w:ilvl w:val="0"/>
                <w:numId w:val="4"/>
              </w:numPr>
              <w:spacing w:after="200" w:line="276" w:lineRule="auto"/>
              <w:ind w:left="554" w:hanging="425"/>
              <w:rPr>
                <w:rFonts w:ascii="Times New Roman" w:hAnsi="Times New Roman" w:cs="Times New Roman"/>
                <w:szCs w:val="24"/>
              </w:rPr>
            </w:pPr>
            <w:r w:rsidRPr="00C562D6">
              <w:rPr>
                <w:rFonts w:ascii="Times New Roman" w:hAnsi="Times New Roman" w:cs="Times New Roman"/>
                <w:szCs w:val="24"/>
              </w:rPr>
              <w:t>The Grant Index</w:t>
            </w:r>
          </w:p>
          <w:p w:rsidR="00760560" w:rsidRPr="00C562D6" w:rsidRDefault="00227587" w:rsidP="00EB4A0A">
            <w:pPr>
              <w:pStyle w:val="ListParagraph"/>
              <w:numPr>
                <w:ilvl w:val="0"/>
                <w:numId w:val="4"/>
              </w:numPr>
              <w:spacing w:after="200" w:line="276" w:lineRule="auto"/>
              <w:ind w:left="554" w:hanging="425"/>
              <w:rPr>
                <w:rFonts w:ascii="Times New Roman" w:hAnsi="Times New Roman" w:cs="Times New Roman"/>
                <w:szCs w:val="24"/>
              </w:rPr>
            </w:pPr>
            <w:r w:rsidRPr="00C562D6">
              <w:rPr>
                <w:rFonts w:ascii="Times New Roman" w:hAnsi="Times New Roman" w:cs="Times New Roman"/>
                <w:szCs w:val="24"/>
              </w:rPr>
              <w:t>The Housing Quality Indicators (HQI)</w:t>
            </w:r>
          </w:p>
        </w:tc>
        <w:tc>
          <w:tcPr>
            <w:tcW w:w="2311" w:type="dxa"/>
          </w:tcPr>
          <w:p w:rsidR="00760560" w:rsidRPr="00C562D6" w:rsidRDefault="00760560" w:rsidP="00EB4A0A">
            <w:pPr>
              <w:spacing w:after="200" w:line="276" w:lineRule="auto"/>
              <w:rPr>
                <w:rFonts w:ascii="Times New Roman" w:hAnsi="Times New Roman" w:cs="Times New Roman"/>
                <w:szCs w:val="24"/>
              </w:rPr>
            </w:pPr>
            <w:r w:rsidRPr="00C562D6">
              <w:rPr>
                <w:rFonts w:ascii="Times New Roman" w:hAnsi="Times New Roman" w:cs="Times New Roman"/>
                <w:szCs w:val="24"/>
              </w:rPr>
              <w:t xml:space="preserve">Whole stock assessment over the four year period (using the </w:t>
            </w:r>
            <w:r w:rsidR="00227587" w:rsidRPr="00C562D6">
              <w:rPr>
                <w:rFonts w:ascii="Times New Roman" w:hAnsi="Times New Roman" w:cs="Times New Roman"/>
                <w:szCs w:val="24"/>
              </w:rPr>
              <w:t>HQI</w:t>
            </w:r>
            <w:r w:rsidRPr="00C562D6">
              <w:rPr>
                <w:rFonts w:ascii="Times New Roman" w:hAnsi="Times New Roman" w:cs="Times New Roman"/>
                <w:szCs w:val="24"/>
              </w:rPr>
              <w:t xml:space="preserve"> and must comply with the Housing Corporation’s quality standards</w:t>
            </w:r>
            <w:r w:rsidR="006E1A5D" w:rsidRPr="00C562D6">
              <w:rPr>
                <w:rFonts w:ascii="Times New Roman" w:hAnsi="Times New Roman" w:cs="Times New Roman"/>
                <w:szCs w:val="24"/>
              </w:rPr>
              <w:t>)</w:t>
            </w:r>
          </w:p>
        </w:tc>
        <w:tc>
          <w:tcPr>
            <w:tcW w:w="2311" w:type="dxa"/>
          </w:tcPr>
          <w:p w:rsidR="00760560" w:rsidRPr="00C562D6" w:rsidRDefault="00760560" w:rsidP="00EB4A0A">
            <w:pPr>
              <w:spacing w:line="276" w:lineRule="auto"/>
              <w:rPr>
                <w:rFonts w:ascii="Times New Roman" w:hAnsi="Times New Roman" w:cs="Times New Roman"/>
                <w:szCs w:val="24"/>
              </w:rPr>
            </w:pPr>
            <w:r w:rsidRPr="00C562D6">
              <w:rPr>
                <w:rFonts w:ascii="Times New Roman" w:hAnsi="Times New Roman" w:cs="Times New Roman"/>
                <w:szCs w:val="24"/>
              </w:rPr>
              <w:t>Two bid routes:</w:t>
            </w:r>
          </w:p>
          <w:p w:rsidR="00760560" w:rsidRPr="00C562D6" w:rsidRDefault="00760560" w:rsidP="00EB4A0A">
            <w:pPr>
              <w:pStyle w:val="ListParagraph"/>
              <w:numPr>
                <w:ilvl w:val="0"/>
                <w:numId w:val="5"/>
              </w:numPr>
              <w:spacing w:after="200" w:line="276" w:lineRule="auto"/>
              <w:ind w:left="440" w:hanging="425"/>
              <w:rPr>
                <w:rFonts w:ascii="Times New Roman" w:hAnsi="Times New Roman" w:cs="Times New Roman"/>
                <w:szCs w:val="24"/>
              </w:rPr>
            </w:pPr>
            <w:r w:rsidRPr="00C562D6">
              <w:rPr>
                <w:rFonts w:ascii="Times New Roman" w:hAnsi="Times New Roman" w:cs="Times New Roman"/>
                <w:szCs w:val="24"/>
              </w:rPr>
              <w:t>Mixed route (a combination of firm and indicative developments)</w:t>
            </w:r>
          </w:p>
          <w:p w:rsidR="00760560" w:rsidRPr="00C562D6" w:rsidRDefault="00760560" w:rsidP="00EB4A0A">
            <w:pPr>
              <w:pStyle w:val="ListParagraph"/>
              <w:numPr>
                <w:ilvl w:val="0"/>
                <w:numId w:val="5"/>
              </w:numPr>
              <w:spacing w:after="200" w:line="276" w:lineRule="auto"/>
              <w:ind w:left="440" w:hanging="425"/>
              <w:rPr>
                <w:rFonts w:ascii="Times New Roman" w:hAnsi="Times New Roman" w:cs="Times New Roman"/>
                <w:szCs w:val="24"/>
              </w:rPr>
            </w:pPr>
            <w:r w:rsidRPr="00C562D6">
              <w:rPr>
                <w:rFonts w:ascii="Times New Roman" w:hAnsi="Times New Roman" w:cs="Times New Roman"/>
                <w:szCs w:val="24"/>
              </w:rPr>
              <w:t>Firm scheme developments only</w:t>
            </w:r>
          </w:p>
        </w:tc>
      </w:tr>
      <w:tr w:rsidR="00760560" w:rsidRPr="00C562D6" w:rsidTr="00760560">
        <w:tc>
          <w:tcPr>
            <w:tcW w:w="2310" w:type="dxa"/>
          </w:tcPr>
          <w:p w:rsidR="00760560" w:rsidRPr="00C562D6" w:rsidRDefault="00760560" w:rsidP="00EB4A0A">
            <w:pPr>
              <w:spacing w:after="200" w:line="276" w:lineRule="auto"/>
              <w:rPr>
                <w:rFonts w:ascii="Times New Roman" w:hAnsi="Times New Roman" w:cs="Times New Roman"/>
                <w:szCs w:val="24"/>
              </w:rPr>
            </w:pPr>
            <w:r w:rsidRPr="00C562D6">
              <w:rPr>
                <w:rFonts w:ascii="Times New Roman" w:hAnsi="Times New Roman" w:cs="Times New Roman"/>
                <w:szCs w:val="24"/>
              </w:rPr>
              <w:t>The main products</w:t>
            </w:r>
          </w:p>
        </w:tc>
        <w:tc>
          <w:tcPr>
            <w:tcW w:w="2310" w:type="dxa"/>
          </w:tcPr>
          <w:p w:rsidR="00760560" w:rsidRPr="00C562D6" w:rsidRDefault="00760560" w:rsidP="00EB4A0A">
            <w:pPr>
              <w:pStyle w:val="ListParagraph"/>
              <w:numPr>
                <w:ilvl w:val="0"/>
                <w:numId w:val="6"/>
              </w:numPr>
              <w:spacing w:after="200" w:line="276" w:lineRule="auto"/>
              <w:ind w:left="525" w:hanging="425"/>
              <w:rPr>
                <w:rFonts w:ascii="Times New Roman" w:hAnsi="Times New Roman" w:cs="Times New Roman"/>
                <w:szCs w:val="24"/>
              </w:rPr>
            </w:pPr>
            <w:r w:rsidRPr="00C562D6">
              <w:rPr>
                <w:rFonts w:ascii="Times New Roman" w:hAnsi="Times New Roman" w:cs="Times New Roman"/>
                <w:szCs w:val="24"/>
              </w:rPr>
              <w:t>Social Rented Homes</w:t>
            </w:r>
          </w:p>
          <w:p w:rsidR="00760560" w:rsidRPr="00C562D6" w:rsidRDefault="00760560" w:rsidP="00EB4A0A">
            <w:pPr>
              <w:pStyle w:val="ListParagraph"/>
              <w:numPr>
                <w:ilvl w:val="0"/>
                <w:numId w:val="6"/>
              </w:numPr>
              <w:spacing w:after="200" w:line="276" w:lineRule="auto"/>
              <w:ind w:left="525" w:hanging="425"/>
              <w:rPr>
                <w:rFonts w:ascii="Times New Roman" w:hAnsi="Times New Roman" w:cs="Times New Roman"/>
                <w:szCs w:val="24"/>
              </w:rPr>
            </w:pPr>
            <w:r w:rsidRPr="00C562D6">
              <w:rPr>
                <w:rFonts w:ascii="Times New Roman" w:hAnsi="Times New Roman" w:cs="Times New Roman"/>
                <w:szCs w:val="24"/>
              </w:rPr>
              <w:t>Temporary Social Housing</w:t>
            </w:r>
          </w:p>
          <w:p w:rsidR="00760560" w:rsidRPr="00C562D6" w:rsidRDefault="006E1A5D" w:rsidP="00EB4A0A">
            <w:pPr>
              <w:pStyle w:val="ListParagraph"/>
              <w:numPr>
                <w:ilvl w:val="0"/>
                <w:numId w:val="6"/>
              </w:numPr>
              <w:spacing w:after="200" w:line="276" w:lineRule="auto"/>
              <w:ind w:left="525" w:hanging="425"/>
              <w:rPr>
                <w:rFonts w:ascii="Times New Roman" w:hAnsi="Times New Roman" w:cs="Times New Roman"/>
                <w:szCs w:val="24"/>
              </w:rPr>
            </w:pPr>
            <w:r w:rsidRPr="00C562D6">
              <w:rPr>
                <w:rFonts w:ascii="Times New Roman" w:hAnsi="Times New Roman" w:cs="Times New Roman"/>
                <w:szCs w:val="24"/>
              </w:rPr>
              <w:t xml:space="preserve">New build and Social </w:t>
            </w:r>
            <w:proofErr w:type="spellStart"/>
            <w:r w:rsidRPr="00C562D6">
              <w:rPr>
                <w:rFonts w:ascii="Times New Roman" w:hAnsi="Times New Roman" w:cs="Times New Roman"/>
                <w:szCs w:val="24"/>
              </w:rPr>
              <w:t>HomeBuy</w:t>
            </w:r>
            <w:proofErr w:type="spellEnd"/>
          </w:p>
        </w:tc>
        <w:tc>
          <w:tcPr>
            <w:tcW w:w="2311" w:type="dxa"/>
          </w:tcPr>
          <w:p w:rsidR="00760560" w:rsidRPr="00C562D6" w:rsidRDefault="006E1A5D" w:rsidP="00EB4A0A">
            <w:pPr>
              <w:pStyle w:val="ListParagraph"/>
              <w:numPr>
                <w:ilvl w:val="0"/>
                <w:numId w:val="6"/>
              </w:numPr>
              <w:spacing w:after="200" w:line="276" w:lineRule="auto"/>
              <w:ind w:left="342" w:hanging="284"/>
              <w:rPr>
                <w:rFonts w:ascii="Times New Roman" w:hAnsi="Times New Roman" w:cs="Times New Roman"/>
                <w:szCs w:val="24"/>
              </w:rPr>
            </w:pPr>
            <w:r w:rsidRPr="00C562D6">
              <w:rPr>
                <w:rFonts w:ascii="Times New Roman" w:hAnsi="Times New Roman" w:cs="Times New Roman"/>
                <w:szCs w:val="24"/>
              </w:rPr>
              <w:t>Affordable Rents (with four funding streams)</w:t>
            </w:r>
          </w:p>
          <w:p w:rsidR="006E1A5D" w:rsidRPr="00C562D6" w:rsidRDefault="006E1A5D" w:rsidP="00EB4A0A">
            <w:pPr>
              <w:pStyle w:val="ListParagraph"/>
              <w:numPr>
                <w:ilvl w:val="0"/>
                <w:numId w:val="6"/>
              </w:numPr>
              <w:spacing w:after="200" w:line="276" w:lineRule="auto"/>
              <w:ind w:left="342" w:hanging="284"/>
              <w:rPr>
                <w:rFonts w:ascii="Times New Roman" w:hAnsi="Times New Roman" w:cs="Times New Roman"/>
                <w:szCs w:val="24"/>
              </w:rPr>
            </w:pPr>
            <w:r w:rsidRPr="00C562D6">
              <w:rPr>
                <w:rFonts w:ascii="Times New Roman" w:hAnsi="Times New Roman" w:cs="Times New Roman"/>
                <w:szCs w:val="24"/>
              </w:rPr>
              <w:t>Affordable Home Ownership</w:t>
            </w:r>
          </w:p>
          <w:p w:rsidR="006E1A5D" w:rsidRPr="00C562D6" w:rsidRDefault="006E1A5D" w:rsidP="00EB4A0A">
            <w:pPr>
              <w:spacing w:after="200" w:line="276" w:lineRule="auto"/>
              <w:ind w:left="360"/>
              <w:rPr>
                <w:rFonts w:ascii="Times New Roman" w:hAnsi="Times New Roman" w:cs="Times New Roman"/>
                <w:szCs w:val="24"/>
              </w:rPr>
            </w:pPr>
          </w:p>
        </w:tc>
        <w:tc>
          <w:tcPr>
            <w:tcW w:w="2311" w:type="dxa"/>
          </w:tcPr>
          <w:p w:rsidR="00D30EE2" w:rsidRPr="00C562D6" w:rsidRDefault="00D30EE2" w:rsidP="00EB4A0A">
            <w:pPr>
              <w:pStyle w:val="ListParagraph"/>
              <w:numPr>
                <w:ilvl w:val="0"/>
                <w:numId w:val="6"/>
              </w:numPr>
              <w:spacing w:after="200" w:line="276" w:lineRule="auto"/>
              <w:ind w:left="427" w:hanging="425"/>
              <w:rPr>
                <w:rFonts w:ascii="Times New Roman" w:hAnsi="Times New Roman" w:cs="Times New Roman"/>
                <w:szCs w:val="24"/>
              </w:rPr>
            </w:pPr>
            <w:r w:rsidRPr="00C562D6">
              <w:rPr>
                <w:rFonts w:ascii="Times New Roman" w:hAnsi="Times New Roman" w:cs="Times New Roman"/>
                <w:szCs w:val="24"/>
              </w:rPr>
              <w:t xml:space="preserve">A new Affordable Rent to Buy </w:t>
            </w:r>
          </w:p>
          <w:p w:rsidR="00760560" w:rsidRPr="00C562D6" w:rsidRDefault="006E1A5D" w:rsidP="00EB4A0A">
            <w:pPr>
              <w:pStyle w:val="ListParagraph"/>
              <w:numPr>
                <w:ilvl w:val="0"/>
                <w:numId w:val="6"/>
              </w:numPr>
              <w:spacing w:after="200" w:line="276" w:lineRule="auto"/>
              <w:ind w:left="427" w:hanging="425"/>
              <w:rPr>
                <w:rFonts w:ascii="Times New Roman" w:hAnsi="Times New Roman" w:cs="Times New Roman"/>
                <w:szCs w:val="24"/>
              </w:rPr>
            </w:pPr>
            <w:r w:rsidRPr="00C562D6">
              <w:rPr>
                <w:rFonts w:ascii="Times New Roman" w:hAnsi="Times New Roman" w:cs="Times New Roman"/>
                <w:szCs w:val="24"/>
              </w:rPr>
              <w:t>Similar products again with social rent schemes only in very limited circumstances</w:t>
            </w:r>
          </w:p>
        </w:tc>
      </w:tr>
      <w:tr w:rsidR="006E1A5D" w:rsidRPr="00C562D6" w:rsidTr="00760560">
        <w:tc>
          <w:tcPr>
            <w:tcW w:w="2310" w:type="dxa"/>
          </w:tcPr>
          <w:p w:rsidR="006E1A5D" w:rsidRPr="00C562D6" w:rsidRDefault="006E1A5D" w:rsidP="00EB4A0A">
            <w:pPr>
              <w:spacing w:after="200" w:line="276" w:lineRule="auto"/>
              <w:rPr>
                <w:rFonts w:ascii="Times New Roman" w:hAnsi="Times New Roman" w:cs="Times New Roman"/>
                <w:szCs w:val="24"/>
              </w:rPr>
            </w:pPr>
            <w:r w:rsidRPr="00C562D6">
              <w:rPr>
                <w:rFonts w:ascii="Times New Roman" w:hAnsi="Times New Roman" w:cs="Times New Roman"/>
                <w:szCs w:val="24"/>
              </w:rPr>
              <w:t>Notes</w:t>
            </w:r>
          </w:p>
        </w:tc>
        <w:tc>
          <w:tcPr>
            <w:tcW w:w="2310" w:type="dxa"/>
          </w:tcPr>
          <w:p w:rsidR="006E1A5D" w:rsidRPr="00C562D6" w:rsidRDefault="006E1A5D" w:rsidP="00EB4A0A">
            <w:pPr>
              <w:spacing w:line="276" w:lineRule="auto"/>
              <w:rPr>
                <w:rFonts w:ascii="Times New Roman" w:hAnsi="Times New Roman" w:cs="Times New Roman"/>
                <w:szCs w:val="24"/>
              </w:rPr>
            </w:pPr>
            <w:r w:rsidRPr="00C562D6">
              <w:rPr>
                <w:rFonts w:ascii="Times New Roman" w:hAnsi="Times New Roman" w:cs="Times New Roman"/>
                <w:szCs w:val="24"/>
              </w:rPr>
              <w:t>Use of intermediate rents; A concern for developing schemes for Key Workers.</w:t>
            </w:r>
          </w:p>
        </w:tc>
        <w:tc>
          <w:tcPr>
            <w:tcW w:w="2311" w:type="dxa"/>
          </w:tcPr>
          <w:p w:rsidR="006E1A5D" w:rsidRPr="00C562D6" w:rsidRDefault="006E1A5D" w:rsidP="00EB4A0A">
            <w:pPr>
              <w:spacing w:after="200" w:line="276" w:lineRule="auto"/>
              <w:rPr>
                <w:rFonts w:ascii="Times New Roman" w:hAnsi="Times New Roman" w:cs="Times New Roman"/>
                <w:szCs w:val="24"/>
              </w:rPr>
            </w:pPr>
            <w:r w:rsidRPr="00C562D6">
              <w:rPr>
                <w:rFonts w:ascii="Times New Roman" w:hAnsi="Times New Roman" w:cs="Times New Roman"/>
                <w:szCs w:val="24"/>
              </w:rPr>
              <w:t>Social rent scheme are only to be supported in exceptional cases.</w:t>
            </w:r>
          </w:p>
        </w:tc>
        <w:tc>
          <w:tcPr>
            <w:tcW w:w="2311" w:type="dxa"/>
          </w:tcPr>
          <w:p w:rsidR="006E1A5D" w:rsidRPr="00C562D6" w:rsidRDefault="006E1A5D" w:rsidP="00EB4A0A">
            <w:pPr>
              <w:spacing w:after="200" w:line="276" w:lineRule="auto"/>
              <w:rPr>
                <w:rFonts w:ascii="Times New Roman" w:hAnsi="Times New Roman" w:cs="Times New Roman"/>
                <w:szCs w:val="24"/>
              </w:rPr>
            </w:pPr>
          </w:p>
        </w:tc>
      </w:tr>
    </w:tbl>
    <w:p w:rsidR="00050198" w:rsidRPr="00C562D6" w:rsidRDefault="00044174" w:rsidP="00EB4A0A">
      <w:pPr>
        <w:spacing w:after="200" w:line="276" w:lineRule="auto"/>
        <w:rPr>
          <w:rFonts w:ascii="Times New Roman" w:hAnsi="Times New Roman" w:cs="Times New Roman"/>
          <w:szCs w:val="24"/>
        </w:rPr>
      </w:pPr>
      <w:r w:rsidRPr="00C562D6">
        <w:rPr>
          <w:rFonts w:ascii="Times New Roman" w:hAnsi="Times New Roman" w:cs="Times New Roman"/>
          <w:szCs w:val="24"/>
        </w:rPr>
        <w:t xml:space="preserve">Sources: NAHP 2008-11 Prospectus; AHP 2015-18 </w:t>
      </w:r>
      <w:proofErr w:type="gramStart"/>
      <w:r w:rsidRPr="00C562D6">
        <w:rPr>
          <w:rFonts w:ascii="Times New Roman" w:hAnsi="Times New Roman" w:cs="Times New Roman"/>
          <w:szCs w:val="24"/>
        </w:rPr>
        <w:t>Prospectus</w:t>
      </w:r>
      <w:proofErr w:type="gramEnd"/>
      <w:r w:rsidRPr="00C562D6">
        <w:rPr>
          <w:rFonts w:ascii="Times New Roman" w:hAnsi="Times New Roman" w:cs="Times New Roman"/>
          <w:szCs w:val="24"/>
        </w:rPr>
        <w:t>, and Wilcox and Perry (2014: 56).</w:t>
      </w:r>
      <w:r w:rsidR="00050198" w:rsidRPr="00C562D6">
        <w:rPr>
          <w:rFonts w:ascii="Times New Roman" w:hAnsi="Times New Roman" w:cs="Times New Roman"/>
          <w:szCs w:val="24"/>
        </w:rPr>
        <w:br w:type="page"/>
      </w:r>
    </w:p>
    <w:p w:rsidR="001457C5" w:rsidRPr="00C562D6" w:rsidRDefault="00060A0D" w:rsidP="00060A0D">
      <w:pPr>
        <w:spacing w:line="480" w:lineRule="auto"/>
        <w:rPr>
          <w:rFonts w:ascii="Times New Roman" w:hAnsi="Times New Roman" w:cs="Times New Roman"/>
          <w:b/>
          <w:szCs w:val="24"/>
        </w:rPr>
      </w:pPr>
      <w:r w:rsidRPr="00C562D6">
        <w:rPr>
          <w:rFonts w:ascii="Times New Roman" w:hAnsi="Times New Roman" w:cs="Times New Roman"/>
          <w:b/>
          <w:szCs w:val="24"/>
        </w:rPr>
        <w:lastRenderedPageBreak/>
        <w:t>References</w:t>
      </w:r>
    </w:p>
    <w:p w:rsidR="00A5130D" w:rsidRPr="00C562D6" w:rsidRDefault="00A5130D" w:rsidP="00EB225B">
      <w:pPr>
        <w:pStyle w:val="FootnoteText"/>
        <w:rPr>
          <w:rFonts w:ascii="Times New Roman" w:hAnsi="Times New Roman" w:cs="Times New Roman"/>
          <w:i/>
          <w:sz w:val="24"/>
          <w:szCs w:val="24"/>
        </w:rPr>
      </w:pPr>
      <w:proofErr w:type="spellStart"/>
      <w:r w:rsidRPr="00C562D6">
        <w:rPr>
          <w:rFonts w:ascii="Times New Roman" w:hAnsi="Times New Roman" w:cs="Times New Roman"/>
          <w:sz w:val="24"/>
          <w:szCs w:val="24"/>
        </w:rPr>
        <w:t>Andersson</w:t>
      </w:r>
      <w:proofErr w:type="spellEnd"/>
      <w:r w:rsidR="0033764D" w:rsidRPr="00C562D6">
        <w:rPr>
          <w:rFonts w:ascii="Times New Roman" w:hAnsi="Times New Roman" w:cs="Times New Roman"/>
          <w:sz w:val="24"/>
          <w:szCs w:val="24"/>
        </w:rPr>
        <w:t xml:space="preserve">, T.; Lee, E.; </w:t>
      </w:r>
      <w:proofErr w:type="spellStart"/>
      <w:r w:rsidR="0033764D" w:rsidRPr="00C562D6">
        <w:rPr>
          <w:rFonts w:ascii="Times New Roman" w:hAnsi="Times New Roman" w:cs="Times New Roman"/>
          <w:sz w:val="24"/>
          <w:szCs w:val="24"/>
        </w:rPr>
        <w:t>Theodosopolous</w:t>
      </w:r>
      <w:proofErr w:type="spellEnd"/>
      <w:r w:rsidR="0033764D" w:rsidRPr="00C562D6">
        <w:rPr>
          <w:rFonts w:ascii="Times New Roman" w:hAnsi="Times New Roman" w:cs="Times New Roman"/>
          <w:sz w:val="24"/>
          <w:szCs w:val="24"/>
        </w:rPr>
        <w:t>, G.; Yin, Y.P. and Haslam, C.</w:t>
      </w:r>
      <w:r w:rsidRPr="00C562D6">
        <w:rPr>
          <w:rFonts w:ascii="Times New Roman" w:hAnsi="Times New Roman" w:cs="Times New Roman"/>
          <w:sz w:val="24"/>
          <w:szCs w:val="24"/>
        </w:rPr>
        <w:t xml:space="preserve"> (2014)</w:t>
      </w:r>
      <w:r w:rsidR="0033764D" w:rsidRPr="00C562D6">
        <w:rPr>
          <w:rFonts w:ascii="Times New Roman" w:hAnsi="Times New Roman" w:cs="Times New Roman"/>
          <w:sz w:val="24"/>
          <w:szCs w:val="24"/>
        </w:rPr>
        <w:t xml:space="preserve">, ‘Accounting for financialised UK and US business model’, </w:t>
      </w:r>
      <w:r w:rsidR="0033764D" w:rsidRPr="00C562D6">
        <w:rPr>
          <w:rFonts w:ascii="Times New Roman" w:hAnsi="Times New Roman" w:cs="Times New Roman"/>
          <w:i/>
          <w:sz w:val="24"/>
          <w:szCs w:val="24"/>
        </w:rPr>
        <w:t xml:space="preserve">Critical Perspectives on Accounting, </w:t>
      </w:r>
      <w:r w:rsidR="0033764D" w:rsidRPr="00C562D6">
        <w:rPr>
          <w:rFonts w:ascii="Times New Roman" w:hAnsi="Times New Roman" w:cs="Times New Roman"/>
          <w:sz w:val="24"/>
          <w:szCs w:val="24"/>
        </w:rPr>
        <w:t>Vol. 25 No. 1, pp. 78-91.</w:t>
      </w:r>
    </w:p>
    <w:p w:rsidR="00A5130D" w:rsidRPr="00C562D6" w:rsidRDefault="00A5130D" w:rsidP="00EB225B">
      <w:pPr>
        <w:pStyle w:val="FootnoteText"/>
        <w:rPr>
          <w:rFonts w:ascii="Times New Roman" w:hAnsi="Times New Roman" w:cs="Times New Roman"/>
          <w:sz w:val="24"/>
          <w:szCs w:val="24"/>
        </w:rPr>
      </w:pPr>
    </w:p>
    <w:p w:rsidR="00BB7A8E" w:rsidRPr="00C562D6" w:rsidRDefault="00BB7A8E" w:rsidP="00BB7A8E">
      <w:pPr>
        <w:autoSpaceDE w:val="0"/>
        <w:autoSpaceDN w:val="0"/>
        <w:adjustRightInd w:val="0"/>
        <w:ind w:left="142" w:hanging="142"/>
        <w:jc w:val="both"/>
        <w:rPr>
          <w:rFonts w:ascii="Times New Roman" w:hAnsi="Times New Roman" w:cs="Times New Roman"/>
        </w:rPr>
      </w:pPr>
      <w:r w:rsidRPr="00C562D6">
        <w:rPr>
          <w:rFonts w:ascii="Times New Roman" w:hAnsi="Times New Roman" w:cs="Times New Roman"/>
        </w:rPr>
        <w:t xml:space="preserve">Arnold, P.J. and Cooper, C. (1999), </w:t>
      </w:r>
      <w:r w:rsidR="00707676" w:rsidRPr="00C562D6">
        <w:rPr>
          <w:rFonts w:ascii="Times New Roman" w:hAnsi="Times New Roman" w:cs="Times New Roman"/>
        </w:rPr>
        <w:t>‘</w:t>
      </w:r>
      <w:r w:rsidRPr="00C562D6">
        <w:rPr>
          <w:rFonts w:ascii="Times New Roman" w:hAnsi="Times New Roman" w:cs="Times New Roman"/>
        </w:rPr>
        <w:t>A Tale of two classes: The privatisation of</w:t>
      </w:r>
    </w:p>
    <w:p w:rsidR="00BB7A8E" w:rsidRPr="00C562D6" w:rsidRDefault="00BB7A8E" w:rsidP="00BB7A8E">
      <w:pPr>
        <w:autoSpaceDE w:val="0"/>
        <w:autoSpaceDN w:val="0"/>
        <w:adjustRightInd w:val="0"/>
        <w:ind w:left="142" w:hanging="142"/>
        <w:jc w:val="both"/>
        <w:rPr>
          <w:rFonts w:ascii="Times New Roman" w:hAnsi="Times New Roman" w:cs="Times New Roman"/>
        </w:rPr>
      </w:pPr>
      <w:r w:rsidRPr="00C562D6">
        <w:rPr>
          <w:rFonts w:ascii="Times New Roman" w:hAnsi="Times New Roman" w:cs="Times New Roman"/>
        </w:rPr>
        <w:t>Medway Ports</w:t>
      </w:r>
      <w:r w:rsidR="00707676" w:rsidRPr="00C562D6">
        <w:rPr>
          <w:rFonts w:ascii="Times New Roman" w:hAnsi="Times New Roman" w:cs="Times New Roman"/>
        </w:rPr>
        <w:t>’</w:t>
      </w:r>
      <w:r w:rsidRPr="00C562D6">
        <w:rPr>
          <w:rFonts w:ascii="Times New Roman" w:hAnsi="Times New Roman" w:cs="Times New Roman"/>
        </w:rPr>
        <w:t>,</w:t>
      </w:r>
      <w:r w:rsidRPr="00C562D6">
        <w:rPr>
          <w:rFonts w:ascii="Times New Roman" w:hAnsi="Times New Roman" w:cs="Times New Roman"/>
          <w:i/>
        </w:rPr>
        <w:t xml:space="preserve"> Critical Perspectives on Accounting</w:t>
      </w:r>
      <w:r w:rsidRPr="00C562D6">
        <w:rPr>
          <w:rFonts w:ascii="Times New Roman" w:hAnsi="Times New Roman" w:cs="Times New Roman"/>
        </w:rPr>
        <w:t>, Vol. 10 No. 2, pp. 127-152.</w:t>
      </w:r>
    </w:p>
    <w:p w:rsidR="00BB7A8E" w:rsidRPr="00C562D6" w:rsidRDefault="00BB7A8E" w:rsidP="00EB225B">
      <w:pPr>
        <w:pStyle w:val="FootnoteText"/>
        <w:rPr>
          <w:rFonts w:ascii="Times New Roman" w:hAnsi="Times New Roman" w:cs="Times New Roman"/>
          <w:sz w:val="24"/>
          <w:szCs w:val="24"/>
        </w:rPr>
      </w:pPr>
    </w:p>
    <w:p w:rsidR="00020F12" w:rsidRPr="00C562D6" w:rsidRDefault="00020F12" w:rsidP="00EB225B">
      <w:pPr>
        <w:pStyle w:val="FootnoteText"/>
        <w:rPr>
          <w:rFonts w:ascii="Times New Roman" w:hAnsi="Times New Roman" w:cs="Times New Roman"/>
          <w:sz w:val="24"/>
          <w:szCs w:val="24"/>
        </w:rPr>
      </w:pPr>
      <w:r w:rsidRPr="00C562D6">
        <w:rPr>
          <w:rFonts w:ascii="Times New Roman" w:hAnsi="Times New Roman" w:cs="Times New Roman"/>
          <w:sz w:val="24"/>
          <w:szCs w:val="24"/>
        </w:rPr>
        <w:t>Ashman, S. (2009)</w:t>
      </w:r>
      <w:r w:rsidR="00F605C9" w:rsidRPr="00C562D6">
        <w:rPr>
          <w:rFonts w:ascii="Times New Roman" w:hAnsi="Times New Roman" w:cs="Times New Roman"/>
          <w:sz w:val="24"/>
          <w:szCs w:val="24"/>
        </w:rPr>
        <w:t xml:space="preserve">, ‘Editorial Introduction to the Symposium on the Global Financial Crisis’, </w:t>
      </w:r>
      <w:r w:rsidR="00F605C9" w:rsidRPr="00C562D6">
        <w:rPr>
          <w:rFonts w:ascii="Times New Roman" w:hAnsi="Times New Roman" w:cs="Times New Roman"/>
          <w:i/>
          <w:sz w:val="24"/>
          <w:szCs w:val="24"/>
        </w:rPr>
        <w:t xml:space="preserve">Historical Materialism, </w:t>
      </w:r>
      <w:r w:rsidR="00F605C9" w:rsidRPr="00C562D6">
        <w:rPr>
          <w:rFonts w:ascii="Times New Roman" w:hAnsi="Times New Roman" w:cs="Times New Roman"/>
          <w:sz w:val="24"/>
          <w:szCs w:val="24"/>
        </w:rPr>
        <w:t>Vol. 17, pp. 103-108.</w:t>
      </w:r>
    </w:p>
    <w:p w:rsidR="00020F12" w:rsidRPr="00C562D6" w:rsidRDefault="00020F12" w:rsidP="00EB225B">
      <w:pPr>
        <w:pStyle w:val="FootnoteText"/>
        <w:rPr>
          <w:rFonts w:ascii="Times New Roman" w:hAnsi="Times New Roman" w:cs="Times New Roman"/>
          <w:sz w:val="24"/>
          <w:szCs w:val="24"/>
        </w:rPr>
      </w:pPr>
    </w:p>
    <w:p w:rsidR="00D26244" w:rsidRPr="00C562D6" w:rsidRDefault="00D26244" w:rsidP="00EB225B">
      <w:pPr>
        <w:pStyle w:val="FootnoteText"/>
        <w:rPr>
          <w:rFonts w:ascii="Times New Roman" w:hAnsi="Times New Roman" w:cs="Times New Roman"/>
          <w:sz w:val="24"/>
          <w:szCs w:val="24"/>
        </w:rPr>
      </w:pPr>
      <w:r w:rsidRPr="00C562D6">
        <w:rPr>
          <w:rFonts w:ascii="Times New Roman" w:hAnsi="Times New Roman" w:cs="Times New Roman"/>
          <w:sz w:val="24"/>
          <w:szCs w:val="24"/>
        </w:rPr>
        <w:t>Association of Retained Council Housing (ARCH</w:t>
      </w:r>
      <w:proofErr w:type="gramStart"/>
      <w:r w:rsidRPr="00C562D6">
        <w:rPr>
          <w:rFonts w:ascii="Times New Roman" w:hAnsi="Times New Roman" w:cs="Times New Roman"/>
          <w:sz w:val="24"/>
          <w:szCs w:val="24"/>
        </w:rPr>
        <w:t>)(</w:t>
      </w:r>
      <w:proofErr w:type="gramEnd"/>
      <w:r w:rsidRPr="00C562D6">
        <w:rPr>
          <w:rFonts w:ascii="Times New Roman" w:hAnsi="Times New Roman" w:cs="Times New Roman"/>
          <w:sz w:val="24"/>
          <w:szCs w:val="24"/>
        </w:rPr>
        <w:t xml:space="preserve">2014), </w:t>
      </w:r>
      <w:r w:rsidRPr="00C562D6">
        <w:rPr>
          <w:rFonts w:ascii="Times New Roman" w:hAnsi="Times New Roman" w:cs="Times New Roman"/>
          <w:i/>
          <w:sz w:val="24"/>
          <w:szCs w:val="24"/>
        </w:rPr>
        <w:t>Submission to the Lyons Housing Review.</w:t>
      </w:r>
    </w:p>
    <w:p w:rsidR="00D26244" w:rsidRPr="00C562D6" w:rsidRDefault="00D26244" w:rsidP="00EB225B">
      <w:pPr>
        <w:pStyle w:val="FootnoteText"/>
        <w:rPr>
          <w:rFonts w:ascii="Times New Roman" w:hAnsi="Times New Roman" w:cs="Times New Roman"/>
          <w:sz w:val="24"/>
          <w:szCs w:val="24"/>
        </w:rPr>
      </w:pPr>
    </w:p>
    <w:p w:rsidR="00166923" w:rsidRPr="00C562D6" w:rsidRDefault="00166923" w:rsidP="00EB225B">
      <w:pPr>
        <w:pStyle w:val="FootnoteText"/>
        <w:rPr>
          <w:rFonts w:ascii="Times New Roman" w:hAnsi="Times New Roman" w:cs="Times New Roman"/>
          <w:sz w:val="24"/>
          <w:szCs w:val="24"/>
        </w:rPr>
      </w:pPr>
      <w:proofErr w:type="gramStart"/>
      <w:r w:rsidRPr="00C562D6">
        <w:rPr>
          <w:rFonts w:ascii="Times New Roman" w:hAnsi="Times New Roman" w:cs="Times New Roman"/>
          <w:sz w:val="24"/>
          <w:szCs w:val="24"/>
        </w:rPr>
        <w:t xml:space="preserve">Birch, J. (2011), ‘Costs and Benefits’, </w:t>
      </w:r>
      <w:r w:rsidRPr="00C562D6">
        <w:rPr>
          <w:rFonts w:ascii="Times New Roman" w:hAnsi="Times New Roman" w:cs="Times New Roman"/>
          <w:i/>
          <w:sz w:val="24"/>
          <w:szCs w:val="24"/>
        </w:rPr>
        <w:t>Inside Housing</w:t>
      </w:r>
      <w:r w:rsidRPr="00C562D6">
        <w:rPr>
          <w:rFonts w:ascii="Times New Roman" w:hAnsi="Times New Roman" w:cs="Times New Roman"/>
          <w:sz w:val="24"/>
          <w:szCs w:val="24"/>
        </w:rPr>
        <w:t>, 29 June 2011.</w:t>
      </w:r>
      <w:proofErr w:type="gramEnd"/>
    </w:p>
    <w:p w:rsidR="00166923" w:rsidRPr="00C562D6" w:rsidRDefault="00166923" w:rsidP="00EB225B">
      <w:pPr>
        <w:pStyle w:val="FootnoteText"/>
        <w:rPr>
          <w:rFonts w:ascii="Times New Roman" w:hAnsi="Times New Roman" w:cs="Times New Roman"/>
          <w:sz w:val="24"/>
          <w:szCs w:val="24"/>
        </w:rPr>
      </w:pPr>
    </w:p>
    <w:p w:rsidR="00166923" w:rsidRPr="00C562D6" w:rsidRDefault="00166923" w:rsidP="00EB225B">
      <w:pPr>
        <w:pStyle w:val="FootnoteText"/>
        <w:rPr>
          <w:rFonts w:ascii="Times New Roman" w:hAnsi="Times New Roman" w:cs="Times New Roman"/>
          <w:sz w:val="24"/>
          <w:szCs w:val="24"/>
        </w:rPr>
      </w:pPr>
      <w:r w:rsidRPr="00C562D6">
        <w:rPr>
          <w:rFonts w:ascii="Times New Roman" w:hAnsi="Times New Roman" w:cs="Times New Roman"/>
          <w:sz w:val="24"/>
          <w:szCs w:val="24"/>
        </w:rPr>
        <w:t>Birch, J. (2012), ‘Final Answer?</w:t>
      </w:r>
      <w:proofErr w:type="gramStart"/>
      <w:r w:rsidRPr="00C562D6">
        <w:rPr>
          <w:rFonts w:ascii="Times New Roman" w:hAnsi="Times New Roman" w:cs="Times New Roman"/>
          <w:sz w:val="24"/>
          <w:szCs w:val="24"/>
        </w:rPr>
        <w:t>’,</w:t>
      </w:r>
      <w:proofErr w:type="gramEnd"/>
      <w:r w:rsidRPr="00C562D6">
        <w:rPr>
          <w:rFonts w:ascii="Times New Roman" w:hAnsi="Times New Roman" w:cs="Times New Roman"/>
          <w:i/>
          <w:sz w:val="24"/>
          <w:szCs w:val="24"/>
        </w:rPr>
        <w:t xml:space="preserve"> Inside Housing</w:t>
      </w:r>
      <w:r w:rsidRPr="00C562D6">
        <w:rPr>
          <w:rFonts w:ascii="Times New Roman" w:hAnsi="Times New Roman" w:cs="Times New Roman"/>
          <w:sz w:val="24"/>
          <w:szCs w:val="24"/>
        </w:rPr>
        <w:t>, 4 July 2012.</w:t>
      </w:r>
    </w:p>
    <w:p w:rsidR="0054639B" w:rsidRPr="00C562D6" w:rsidRDefault="0054639B" w:rsidP="00EB225B">
      <w:pPr>
        <w:pStyle w:val="FootnoteText"/>
        <w:rPr>
          <w:rFonts w:ascii="Times New Roman" w:hAnsi="Times New Roman" w:cs="Times New Roman"/>
          <w:sz w:val="24"/>
          <w:szCs w:val="24"/>
        </w:rPr>
      </w:pPr>
    </w:p>
    <w:p w:rsidR="0054639B" w:rsidRPr="00C562D6" w:rsidRDefault="0054639B" w:rsidP="00EB225B">
      <w:pPr>
        <w:pStyle w:val="FootnoteText"/>
        <w:rPr>
          <w:rFonts w:ascii="Times New Roman" w:hAnsi="Times New Roman" w:cs="Times New Roman"/>
          <w:sz w:val="24"/>
          <w:szCs w:val="24"/>
        </w:rPr>
      </w:pPr>
      <w:proofErr w:type="gramStart"/>
      <w:r w:rsidRPr="00C562D6">
        <w:rPr>
          <w:rFonts w:ascii="Times New Roman" w:hAnsi="Times New Roman" w:cs="Times New Roman"/>
          <w:sz w:val="24"/>
          <w:szCs w:val="24"/>
        </w:rPr>
        <w:t xml:space="preserve">Braun, V. and Clarke, V. (2006), “Using thematic analysis in psychology”, </w:t>
      </w:r>
      <w:r w:rsidRPr="00C562D6">
        <w:rPr>
          <w:rFonts w:ascii="Times New Roman" w:hAnsi="Times New Roman" w:cs="Times New Roman"/>
          <w:i/>
          <w:sz w:val="24"/>
          <w:szCs w:val="24"/>
        </w:rPr>
        <w:t>Qualitative Research in Psychology</w:t>
      </w:r>
      <w:r w:rsidRPr="00C562D6">
        <w:rPr>
          <w:rFonts w:ascii="Times New Roman" w:hAnsi="Times New Roman" w:cs="Times New Roman"/>
          <w:sz w:val="24"/>
          <w:szCs w:val="24"/>
        </w:rPr>
        <w:t>, Vol. 3 No. 2, pp. 77-101.</w:t>
      </w:r>
      <w:proofErr w:type="gramEnd"/>
    </w:p>
    <w:p w:rsidR="008855D7" w:rsidRPr="00C562D6" w:rsidRDefault="008855D7" w:rsidP="00EB225B">
      <w:pPr>
        <w:pStyle w:val="FootnoteText"/>
        <w:rPr>
          <w:rFonts w:ascii="Times New Roman" w:hAnsi="Times New Roman" w:cs="Times New Roman"/>
          <w:sz w:val="24"/>
          <w:szCs w:val="24"/>
        </w:rPr>
      </w:pPr>
    </w:p>
    <w:p w:rsidR="00CC7655" w:rsidRPr="00C562D6" w:rsidRDefault="00CC7655" w:rsidP="00EB225B">
      <w:pPr>
        <w:pStyle w:val="FootnoteText"/>
        <w:rPr>
          <w:rFonts w:ascii="Times New Roman" w:hAnsi="Times New Roman" w:cs="Times New Roman"/>
          <w:sz w:val="24"/>
          <w:szCs w:val="24"/>
        </w:rPr>
      </w:pPr>
      <w:r w:rsidRPr="00C562D6">
        <w:rPr>
          <w:rFonts w:ascii="Times New Roman" w:hAnsi="Times New Roman" w:cs="Times New Roman"/>
          <w:sz w:val="24"/>
          <w:szCs w:val="24"/>
        </w:rPr>
        <w:t xml:space="preserve">Britton, E. (2014), ‘Bubble Trouble’, </w:t>
      </w:r>
      <w:r w:rsidRPr="00C562D6">
        <w:rPr>
          <w:rFonts w:ascii="Times New Roman" w:hAnsi="Times New Roman" w:cs="Times New Roman"/>
          <w:i/>
          <w:sz w:val="24"/>
          <w:szCs w:val="24"/>
        </w:rPr>
        <w:t>Public Finance</w:t>
      </w:r>
      <w:r w:rsidRPr="00C562D6">
        <w:rPr>
          <w:rFonts w:ascii="Times New Roman" w:hAnsi="Times New Roman" w:cs="Times New Roman"/>
          <w:sz w:val="24"/>
          <w:szCs w:val="24"/>
        </w:rPr>
        <w:t xml:space="preserve">, 1 September 2014. Available at: </w:t>
      </w:r>
      <w:hyperlink r:id="rId12" w:history="1">
        <w:r w:rsidRPr="00C562D6">
          <w:rPr>
            <w:rStyle w:val="Hyperlink"/>
            <w:rFonts w:ascii="Times New Roman" w:hAnsi="Times New Roman" w:cs="Times New Roman"/>
            <w:sz w:val="24"/>
            <w:szCs w:val="24"/>
          </w:rPr>
          <w:t>http://www.publicfinance.co.uk/features/2014/08/bubble-trouble/</w:t>
        </w:r>
      </w:hyperlink>
      <w:r w:rsidRPr="00C562D6">
        <w:rPr>
          <w:rFonts w:ascii="Times New Roman" w:hAnsi="Times New Roman" w:cs="Times New Roman"/>
          <w:sz w:val="24"/>
          <w:szCs w:val="24"/>
        </w:rPr>
        <w:t xml:space="preserve"> (Accessed on 4 September 2014).</w:t>
      </w:r>
    </w:p>
    <w:p w:rsidR="00ED5791" w:rsidRPr="00C562D6" w:rsidRDefault="00ED5791" w:rsidP="00EB225B">
      <w:pPr>
        <w:pStyle w:val="FootnoteText"/>
        <w:rPr>
          <w:rFonts w:ascii="Times New Roman" w:hAnsi="Times New Roman" w:cs="Times New Roman"/>
          <w:sz w:val="24"/>
          <w:szCs w:val="24"/>
        </w:rPr>
      </w:pPr>
    </w:p>
    <w:p w:rsidR="00ED5791" w:rsidRPr="00C562D6" w:rsidRDefault="00ED5791" w:rsidP="00EB225B">
      <w:pPr>
        <w:pStyle w:val="FootnoteText"/>
        <w:rPr>
          <w:rFonts w:ascii="Times New Roman" w:hAnsi="Times New Roman" w:cs="Times New Roman"/>
          <w:sz w:val="24"/>
          <w:szCs w:val="24"/>
        </w:rPr>
      </w:pPr>
      <w:r w:rsidRPr="00C562D6">
        <w:rPr>
          <w:rFonts w:ascii="Times New Roman" w:hAnsi="Times New Roman" w:cs="Times New Roman"/>
          <w:sz w:val="24"/>
          <w:szCs w:val="24"/>
          <w:lang w:val="en-GB"/>
        </w:rPr>
        <w:t xml:space="preserve">Bryman, A. and Bell, E. (2011), </w:t>
      </w:r>
      <w:r w:rsidRPr="00C562D6">
        <w:rPr>
          <w:rFonts w:ascii="Times New Roman" w:hAnsi="Times New Roman" w:cs="Times New Roman"/>
          <w:i/>
          <w:sz w:val="24"/>
          <w:szCs w:val="24"/>
          <w:lang w:val="en-GB"/>
        </w:rPr>
        <w:t xml:space="preserve">Business Research Methods, </w:t>
      </w:r>
      <w:r w:rsidRPr="00C562D6">
        <w:rPr>
          <w:rFonts w:ascii="Times New Roman" w:hAnsi="Times New Roman" w:cs="Times New Roman"/>
          <w:sz w:val="24"/>
          <w:szCs w:val="24"/>
          <w:lang w:val="en-GB"/>
        </w:rPr>
        <w:t>3</w:t>
      </w:r>
      <w:r w:rsidRPr="00C562D6">
        <w:rPr>
          <w:rFonts w:ascii="Times New Roman" w:hAnsi="Times New Roman" w:cs="Times New Roman"/>
          <w:sz w:val="24"/>
          <w:szCs w:val="24"/>
          <w:vertAlign w:val="superscript"/>
          <w:lang w:val="en-GB"/>
        </w:rPr>
        <w:t>rd</w:t>
      </w:r>
      <w:r w:rsidRPr="00C562D6">
        <w:rPr>
          <w:rFonts w:ascii="Times New Roman" w:hAnsi="Times New Roman" w:cs="Times New Roman"/>
          <w:sz w:val="24"/>
          <w:szCs w:val="24"/>
          <w:lang w:val="en-GB"/>
        </w:rPr>
        <w:t xml:space="preserve"> </w:t>
      </w:r>
      <w:proofErr w:type="spellStart"/>
      <w:proofErr w:type="gramStart"/>
      <w:r w:rsidRPr="00C562D6">
        <w:rPr>
          <w:rFonts w:ascii="Times New Roman" w:hAnsi="Times New Roman" w:cs="Times New Roman"/>
          <w:sz w:val="24"/>
          <w:szCs w:val="24"/>
          <w:lang w:val="en-GB"/>
        </w:rPr>
        <w:t>edn</w:t>
      </w:r>
      <w:proofErr w:type="spellEnd"/>
      <w:r w:rsidRPr="00C562D6">
        <w:rPr>
          <w:rFonts w:ascii="Times New Roman" w:hAnsi="Times New Roman" w:cs="Times New Roman"/>
          <w:sz w:val="24"/>
          <w:szCs w:val="24"/>
          <w:lang w:val="en-GB"/>
        </w:rPr>
        <w:t>.,</w:t>
      </w:r>
      <w:proofErr w:type="gramEnd"/>
      <w:r w:rsidRPr="00C562D6">
        <w:rPr>
          <w:rFonts w:ascii="Times New Roman" w:hAnsi="Times New Roman" w:cs="Times New Roman"/>
          <w:sz w:val="24"/>
          <w:szCs w:val="24"/>
          <w:lang w:val="en-GB"/>
        </w:rPr>
        <w:t xml:space="preserve"> Oxford University Press, Oxford.</w:t>
      </w:r>
    </w:p>
    <w:p w:rsidR="00CC7655" w:rsidRPr="00C562D6" w:rsidRDefault="00CC7655" w:rsidP="00EB225B">
      <w:pPr>
        <w:pStyle w:val="FootnoteText"/>
        <w:rPr>
          <w:rFonts w:ascii="Times New Roman" w:hAnsi="Times New Roman" w:cs="Times New Roman"/>
          <w:sz w:val="24"/>
          <w:szCs w:val="24"/>
        </w:rPr>
      </w:pPr>
    </w:p>
    <w:p w:rsidR="008855D7" w:rsidRPr="00C562D6" w:rsidRDefault="008855D7" w:rsidP="00EB225B">
      <w:pPr>
        <w:pStyle w:val="FootnoteText"/>
        <w:rPr>
          <w:rFonts w:ascii="Times New Roman" w:hAnsi="Times New Roman" w:cs="Times New Roman"/>
          <w:sz w:val="24"/>
          <w:szCs w:val="24"/>
        </w:rPr>
      </w:pPr>
      <w:r w:rsidRPr="00C562D6">
        <w:rPr>
          <w:rFonts w:ascii="Times New Roman" w:hAnsi="Times New Roman" w:cs="Times New Roman"/>
          <w:sz w:val="24"/>
          <w:szCs w:val="24"/>
        </w:rPr>
        <w:t xml:space="preserve">Cooper, </w:t>
      </w:r>
      <w:r w:rsidR="00F605C9" w:rsidRPr="00C562D6">
        <w:rPr>
          <w:rFonts w:ascii="Times New Roman" w:hAnsi="Times New Roman" w:cs="Times New Roman"/>
          <w:sz w:val="24"/>
          <w:szCs w:val="24"/>
        </w:rPr>
        <w:t xml:space="preserve">C. </w:t>
      </w:r>
      <w:r w:rsidRPr="00C562D6">
        <w:rPr>
          <w:rFonts w:ascii="Times New Roman" w:hAnsi="Times New Roman" w:cs="Times New Roman"/>
          <w:sz w:val="24"/>
          <w:szCs w:val="24"/>
        </w:rPr>
        <w:t>(2014)</w:t>
      </w:r>
      <w:r w:rsidR="00F605C9" w:rsidRPr="00C562D6">
        <w:rPr>
          <w:rFonts w:ascii="Times New Roman" w:hAnsi="Times New Roman" w:cs="Times New Roman"/>
          <w:sz w:val="24"/>
          <w:szCs w:val="24"/>
        </w:rPr>
        <w:t>, ‘</w:t>
      </w:r>
      <w:proofErr w:type="gramStart"/>
      <w:r w:rsidR="00F605C9" w:rsidRPr="00C562D6">
        <w:rPr>
          <w:rFonts w:ascii="Times New Roman" w:hAnsi="Times New Roman" w:cs="Times New Roman"/>
          <w:sz w:val="24"/>
          <w:szCs w:val="24"/>
        </w:rPr>
        <w:t>Accounting</w:t>
      </w:r>
      <w:proofErr w:type="gramEnd"/>
      <w:r w:rsidR="00F605C9" w:rsidRPr="00C562D6">
        <w:rPr>
          <w:rFonts w:ascii="Times New Roman" w:hAnsi="Times New Roman" w:cs="Times New Roman"/>
          <w:sz w:val="24"/>
          <w:szCs w:val="24"/>
        </w:rPr>
        <w:t xml:space="preserve"> for the fictitious: A Marxist contribution to understanding accounting’s role in the financial crisis’, </w:t>
      </w:r>
      <w:r w:rsidR="00F605C9" w:rsidRPr="00C562D6">
        <w:rPr>
          <w:rFonts w:ascii="Times New Roman" w:hAnsi="Times New Roman" w:cs="Times New Roman"/>
          <w:i/>
          <w:sz w:val="24"/>
          <w:szCs w:val="24"/>
        </w:rPr>
        <w:t xml:space="preserve">Critical Perspectives on Accounting, </w:t>
      </w:r>
      <w:r w:rsidR="00F605C9" w:rsidRPr="00C562D6">
        <w:rPr>
          <w:rFonts w:ascii="Times New Roman" w:hAnsi="Times New Roman" w:cs="Times New Roman"/>
          <w:sz w:val="24"/>
          <w:szCs w:val="24"/>
        </w:rPr>
        <w:t>In press.</w:t>
      </w:r>
    </w:p>
    <w:p w:rsidR="00166923" w:rsidRPr="00C562D6" w:rsidRDefault="00166923" w:rsidP="00EB225B">
      <w:pPr>
        <w:pStyle w:val="FootnoteText"/>
        <w:rPr>
          <w:rFonts w:ascii="Times New Roman" w:hAnsi="Times New Roman" w:cs="Times New Roman"/>
          <w:sz w:val="24"/>
          <w:szCs w:val="24"/>
        </w:rPr>
      </w:pPr>
    </w:p>
    <w:p w:rsidR="00EB225B" w:rsidRPr="00C562D6" w:rsidRDefault="00EB225B" w:rsidP="00EB225B">
      <w:pPr>
        <w:pStyle w:val="FootnoteText"/>
        <w:rPr>
          <w:rFonts w:ascii="Times New Roman" w:hAnsi="Times New Roman" w:cs="Times New Roman"/>
          <w:sz w:val="24"/>
          <w:szCs w:val="24"/>
        </w:rPr>
      </w:pPr>
      <w:r w:rsidRPr="00C562D6">
        <w:rPr>
          <w:rFonts w:ascii="Times New Roman" w:hAnsi="Times New Roman" w:cs="Times New Roman"/>
          <w:sz w:val="24"/>
          <w:szCs w:val="24"/>
        </w:rPr>
        <w:t xml:space="preserve">Department of Communities and Local Government (DCLG) (2011), </w:t>
      </w:r>
      <w:r w:rsidRPr="00C562D6">
        <w:rPr>
          <w:rFonts w:ascii="Times New Roman" w:hAnsi="Times New Roman" w:cs="Times New Roman"/>
          <w:i/>
          <w:sz w:val="24"/>
          <w:szCs w:val="24"/>
        </w:rPr>
        <w:t>New Homes Bonus: final scheme design</w:t>
      </w:r>
      <w:r w:rsidRPr="00C562D6">
        <w:rPr>
          <w:rFonts w:ascii="Times New Roman" w:hAnsi="Times New Roman" w:cs="Times New Roman"/>
          <w:sz w:val="24"/>
          <w:szCs w:val="24"/>
        </w:rPr>
        <w:t>, February 2011, DCLG Publications, London.</w:t>
      </w:r>
    </w:p>
    <w:p w:rsidR="00EB225B" w:rsidRPr="00C562D6" w:rsidRDefault="00EB225B" w:rsidP="00AC7932">
      <w:pPr>
        <w:rPr>
          <w:rFonts w:ascii="Times New Roman" w:hAnsi="Times New Roman" w:cs="Times New Roman"/>
        </w:rPr>
      </w:pPr>
    </w:p>
    <w:p w:rsidR="00F928DA" w:rsidRPr="00C562D6" w:rsidRDefault="00F928DA" w:rsidP="00AC7932">
      <w:pPr>
        <w:rPr>
          <w:rFonts w:ascii="Times New Roman" w:hAnsi="Times New Roman" w:cs="Times New Roman"/>
        </w:rPr>
      </w:pPr>
      <w:r w:rsidRPr="00C562D6">
        <w:rPr>
          <w:rFonts w:ascii="Times New Roman" w:hAnsi="Times New Roman" w:cs="Times New Roman"/>
        </w:rPr>
        <w:t xml:space="preserve">Department of Environment, Transport and the Regions (DETR) (2000), </w:t>
      </w:r>
      <w:r w:rsidRPr="00C562D6">
        <w:rPr>
          <w:rFonts w:ascii="Times New Roman" w:hAnsi="Times New Roman" w:cs="Times New Roman"/>
          <w:i/>
          <w:lang w:eastAsia="en-GB"/>
        </w:rPr>
        <w:t>Quality and Choice: A Decent Home for All - The Housing Green Paper</w:t>
      </w:r>
      <w:r w:rsidRPr="00C562D6">
        <w:rPr>
          <w:rFonts w:ascii="Times New Roman" w:hAnsi="Times New Roman" w:cs="Times New Roman"/>
          <w:lang w:eastAsia="en-GB"/>
        </w:rPr>
        <w:t>,</w:t>
      </w:r>
      <w:r w:rsidRPr="00C562D6">
        <w:rPr>
          <w:rFonts w:ascii="Times New Roman" w:hAnsi="Times New Roman" w:cs="Times New Roman"/>
          <w:i/>
          <w:lang w:eastAsia="en-GB"/>
        </w:rPr>
        <w:t xml:space="preserve"> </w:t>
      </w:r>
      <w:r w:rsidRPr="00C562D6">
        <w:rPr>
          <w:rFonts w:ascii="Times New Roman" w:hAnsi="Times New Roman" w:cs="Times New Roman"/>
        </w:rPr>
        <w:t>Department of Environment, Transport and the Regions,</w:t>
      </w:r>
      <w:r w:rsidRPr="00C562D6">
        <w:rPr>
          <w:rFonts w:ascii="Times New Roman" w:hAnsi="Times New Roman" w:cs="Times New Roman"/>
          <w:lang w:eastAsia="en-GB"/>
        </w:rPr>
        <w:t xml:space="preserve"> London</w:t>
      </w:r>
      <w:r w:rsidRPr="00C562D6">
        <w:rPr>
          <w:rFonts w:ascii="Times New Roman" w:hAnsi="Times New Roman" w:cs="Times New Roman"/>
        </w:rPr>
        <w:t>.</w:t>
      </w:r>
    </w:p>
    <w:p w:rsidR="00F928DA" w:rsidRPr="00C562D6" w:rsidRDefault="00F928DA" w:rsidP="00AC7932">
      <w:pPr>
        <w:rPr>
          <w:rFonts w:ascii="Times New Roman" w:hAnsi="Times New Roman" w:cs="Times New Roman"/>
        </w:rPr>
      </w:pPr>
    </w:p>
    <w:p w:rsidR="00EB4A0A" w:rsidRPr="00C562D6" w:rsidRDefault="00EB4A0A" w:rsidP="00AC7932">
      <w:pPr>
        <w:rPr>
          <w:rFonts w:ascii="Times New Roman" w:hAnsi="Times New Roman" w:cs="Times New Roman"/>
        </w:rPr>
      </w:pPr>
      <w:r w:rsidRPr="00C562D6">
        <w:rPr>
          <w:rFonts w:ascii="Times New Roman" w:hAnsi="Times New Roman" w:cs="Times New Roman"/>
        </w:rPr>
        <w:t xml:space="preserve">Dorling, D. (2014), </w:t>
      </w:r>
      <w:proofErr w:type="gramStart"/>
      <w:r w:rsidRPr="00C562D6">
        <w:rPr>
          <w:rFonts w:ascii="Times New Roman" w:hAnsi="Times New Roman" w:cs="Times New Roman"/>
          <w:i/>
        </w:rPr>
        <w:t>All</w:t>
      </w:r>
      <w:proofErr w:type="gramEnd"/>
      <w:r w:rsidRPr="00C562D6">
        <w:rPr>
          <w:rFonts w:ascii="Times New Roman" w:hAnsi="Times New Roman" w:cs="Times New Roman"/>
          <w:i/>
        </w:rPr>
        <w:t xml:space="preserve"> that is Solid: the great housing disaster, </w:t>
      </w:r>
      <w:r w:rsidRPr="00C562D6">
        <w:rPr>
          <w:rFonts w:ascii="Times New Roman" w:hAnsi="Times New Roman" w:cs="Times New Roman"/>
        </w:rPr>
        <w:t>Allen Lane, London</w:t>
      </w:r>
      <w:r w:rsidR="00AC7932" w:rsidRPr="00C562D6">
        <w:rPr>
          <w:rFonts w:ascii="Times New Roman" w:hAnsi="Times New Roman" w:cs="Times New Roman"/>
        </w:rPr>
        <w:t>.</w:t>
      </w:r>
    </w:p>
    <w:p w:rsidR="00020F12" w:rsidRPr="00C562D6" w:rsidRDefault="00020F12" w:rsidP="00AC7932">
      <w:pPr>
        <w:rPr>
          <w:rFonts w:ascii="Times New Roman" w:hAnsi="Times New Roman" w:cs="Times New Roman"/>
        </w:rPr>
      </w:pPr>
    </w:p>
    <w:p w:rsidR="00020F12" w:rsidRPr="00C562D6" w:rsidRDefault="00020F12" w:rsidP="00AC7932">
      <w:pPr>
        <w:rPr>
          <w:rFonts w:ascii="Times New Roman" w:hAnsi="Times New Roman" w:cs="Times New Roman"/>
        </w:rPr>
      </w:pPr>
      <w:r w:rsidRPr="00C562D6">
        <w:rPr>
          <w:rFonts w:ascii="Times New Roman" w:hAnsi="Times New Roman" w:cs="Times New Roman"/>
        </w:rPr>
        <w:t>Fine, B. (20</w:t>
      </w:r>
      <w:r w:rsidR="00707676" w:rsidRPr="00C562D6">
        <w:rPr>
          <w:rFonts w:ascii="Times New Roman" w:hAnsi="Times New Roman" w:cs="Times New Roman"/>
        </w:rPr>
        <w:t>10</w:t>
      </w:r>
      <w:r w:rsidRPr="00C562D6">
        <w:rPr>
          <w:rFonts w:ascii="Times New Roman" w:hAnsi="Times New Roman" w:cs="Times New Roman"/>
        </w:rPr>
        <w:t>),</w:t>
      </w:r>
      <w:r w:rsidR="00707676" w:rsidRPr="00C562D6">
        <w:rPr>
          <w:rFonts w:ascii="Times New Roman" w:hAnsi="Times New Roman" w:cs="Times New Roman"/>
        </w:rPr>
        <w:t xml:space="preserve"> ‘Locating </w:t>
      </w:r>
      <w:proofErr w:type="spellStart"/>
      <w:r w:rsidR="00707676" w:rsidRPr="00C562D6">
        <w:rPr>
          <w:rFonts w:ascii="Times New Roman" w:hAnsi="Times New Roman" w:cs="Times New Roman"/>
        </w:rPr>
        <w:t>Financialisation</w:t>
      </w:r>
      <w:proofErr w:type="spellEnd"/>
      <w:r w:rsidR="00707676" w:rsidRPr="00C562D6">
        <w:rPr>
          <w:rFonts w:ascii="Times New Roman" w:hAnsi="Times New Roman" w:cs="Times New Roman"/>
        </w:rPr>
        <w:t xml:space="preserve">’, </w:t>
      </w:r>
      <w:r w:rsidR="00707676" w:rsidRPr="00C562D6">
        <w:rPr>
          <w:rFonts w:ascii="Times New Roman" w:hAnsi="Times New Roman" w:cs="Times New Roman"/>
          <w:i/>
        </w:rPr>
        <w:t xml:space="preserve">Historical Materialism, </w:t>
      </w:r>
      <w:r w:rsidR="00707676" w:rsidRPr="00C562D6">
        <w:rPr>
          <w:rFonts w:ascii="Times New Roman" w:hAnsi="Times New Roman" w:cs="Times New Roman"/>
        </w:rPr>
        <w:t>Vol. 18, pp. 97-116.</w:t>
      </w:r>
    </w:p>
    <w:p w:rsidR="00AA3D24" w:rsidRPr="00C562D6" w:rsidRDefault="00AA3D24" w:rsidP="00AC7932">
      <w:pPr>
        <w:rPr>
          <w:rFonts w:ascii="Times New Roman" w:hAnsi="Times New Roman" w:cs="Times New Roman"/>
        </w:rPr>
      </w:pPr>
    </w:p>
    <w:p w:rsidR="00274230" w:rsidRPr="00C562D6" w:rsidRDefault="00AA3D24" w:rsidP="00AC7932">
      <w:pPr>
        <w:rPr>
          <w:rFonts w:ascii="Times New Roman" w:hAnsi="Times New Roman" w:cs="Times New Roman"/>
        </w:rPr>
      </w:pPr>
      <w:proofErr w:type="gramStart"/>
      <w:r w:rsidRPr="00C562D6">
        <w:rPr>
          <w:rFonts w:ascii="Times New Roman" w:hAnsi="Times New Roman" w:cs="Times New Roman"/>
        </w:rPr>
        <w:t xml:space="preserve">Gibb, et al., (1999), </w:t>
      </w:r>
      <w:r w:rsidRPr="00C562D6">
        <w:rPr>
          <w:rFonts w:ascii="Times New Roman" w:hAnsi="Times New Roman" w:cs="Times New Roman"/>
          <w:i/>
        </w:rPr>
        <w:t>Housing Finance in the UK</w:t>
      </w:r>
      <w:r w:rsidRPr="00C562D6">
        <w:rPr>
          <w:rFonts w:ascii="Times New Roman" w:hAnsi="Times New Roman" w:cs="Times New Roman"/>
        </w:rPr>
        <w:t>, Macmillan, London.</w:t>
      </w:r>
      <w:proofErr w:type="gramEnd"/>
      <w:r w:rsidRPr="00C562D6">
        <w:rPr>
          <w:rFonts w:ascii="Times New Roman" w:hAnsi="Times New Roman" w:cs="Times New Roman"/>
        </w:rPr>
        <w:cr/>
      </w:r>
    </w:p>
    <w:p w:rsidR="00274230" w:rsidRPr="00C562D6" w:rsidRDefault="00274230" w:rsidP="00274230">
      <w:pPr>
        <w:ind w:left="180" w:hanging="180"/>
        <w:jc w:val="both"/>
        <w:rPr>
          <w:rFonts w:ascii="Times New Roman" w:hAnsi="Times New Roman" w:cs="Times New Roman"/>
        </w:rPr>
      </w:pPr>
      <w:r w:rsidRPr="00C562D6">
        <w:rPr>
          <w:rFonts w:ascii="Times New Roman" w:hAnsi="Times New Roman" w:cs="Times New Roman"/>
        </w:rPr>
        <w:t xml:space="preserve">Harvey, D. (2003), </w:t>
      </w:r>
      <w:proofErr w:type="gramStart"/>
      <w:r w:rsidRPr="00C562D6">
        <w:rPr>
          <w:rFonts w:ascii="Times New Roman" w:hAnsi="Times New Roman" w:cs="Times New Roman"/>
          <w:i/>
        </w:rPr>
        <w:t>The</w:t>
      </w:r>
      <w:proofErr w:type="gramEnd"/>
      <w:r w:rsidRPr="00C562D6">
        <w:rPr>
          <w:rFonts w:ascii="Times New Roman" w:hAnsi="Times New Roman" w:cs="Times New Roman"/>
          <w:i/>
        </w:rPr>
        <w:t xml:space="preserve"> New Imperialism, </w:t>
      </w:r>
      <w:r w:rsidRPr="00C562D6">
        <w:rPr>
          <w:rFonts w:ascii="Times New Roman" w:hAnsi="Times New Roman" w:cs="Times New Roman"/>
        </w:rPr>
        <w:t>Oxford University Press, Oxford.</w:t>
      </w:r>
    </w:p>
    <w:p w:rsidR="00274230" w:rsidRPr="00C562D6" w:rsidRDefault="00274230" w:rsidP="00274230">
      <w:pPr>
        <w:ind w:left="180" w:hanging="180"/>
        <w:jc w:val="both"/>
        <w:rPr>
          <w:rFonts w:ascii="Times New Roman" w:hAnsi="Times New Roman" w:cs="Times New Roman"/>
          <w:color w:val="FF0000"/>
        </w:rPr>
      </w:pPr>
    </w:p>
    <w:p w:rsidR="00274230" w:rsidRPr="00C562D6" w:rsidRDefault="00274230" w:rsidP="00274230">
      <w:pPr>
        <w:ind w:left="180" w:hanging="180"/>
        <w:jc w:val="both"/>
        <w:rPr>
          <w:rFonts w:ascii="Times New Roman" w:hAnsi="Times New Roman" w:cs="Times New Roman"/>
        </w:rPr>
      </w:pPr>
      <w:r w:rsidRPr="00C562D6">
        <w:rPr>
          <w:rFonts w:ascii="Times New Roman" w:hAnsi="Times New Roman" w:cs="Times New Roman"/>
        </w:rPr>
        <w:t xml:space="preserve">Harvey, D. (2005), </w:t>
      </w:r>
      <w:r w:rsidRPr="00C562D6">
        <w:rPr>
          <w:rFonts w:ascii="Times New Roman" w:hAnsi="Times New Roman" w:cs="Times New Roman"/>
          <w:i/>
          <w:iCs/>
        </w:rPr>
        <w:t xml:space="preserve">A Brief history of Neoliberalism, </w:t>
      </w:r>
      <w:r w:rsidRPr="00C562D6">
        <w:rPr>
          <w:rFonts w:ascii="Times New Roman" w:hAnsi="Times New Roman" w:cs="Times New Roman"/>
        </w:rPr>
        <w:t>Oxford University Press, Oxford.</w:t>
      </w:r>
    </w:p>
    <w:p w:rsidR="00045214" w:rsidRPr="00C562D6" w:rsidRDefault="00045214" w:rsidP="00AC7932">
      <w:pPr>
        <w:rPr>
          <w:rFonts w:ascii="Times New Roman" w:hAnsi="Times New Roman" w:cs="Times New Roman"/>
        </w:rPr>
      </w:pPr>
    </w:p>
    <w:p w:rsidR="00045214" w:rsidRPr="00C562D6" w:rsidRDefault="00045214" w:rsidP="00AC7932">
      <w:pPr>
        <w:rPr>
          <w:rFonts w:ascii="Times New Roman" w:hAnsi="Times New Roman" w:cs="Times New Roman"/>
        </w:rPr>
      </w:pPr>
      <w:r w:rsidRPr="00C562D6">
        <w:rPr>
          <w:rFonts w:ascii="Times New Roman" w:hAnsi="Times New Roman" w:cs="Times New Roman"/>
        </w:rPr>
        <w:lastRenderedPageBreak/>
        <w:t>Harvey,</w:t>
      </w:r>
      <w:r w:rsidR="007E041C" w:rsidRPr="00C562D6">
        <w:rPr>
          <w:rFonts w:ascii="Times New Roman" w:hAnsi="Times New Roman" w:cs="Times New Roman"/>
        </w:rPr>
        <w:t xml:space="preserve"> </w:t>
      </w:r>
      <w:r w:rsidRPr="00C562D6">
        <w:rPr>
          <w:rFonts w:ascii="Times New Roman" w:hAnsi="Times New Roman" w:cs="Times New Roman"/>
        </w:rPr>
        <w:t>D.</w:t>
      </w:r>
      <w:r w:rsidR="007E041C" w:rsidRPr="00C562D6">
        <w:rPr>
          <w:rFonts w:ascii="Times New Roman" w:hAnsi="Times New Roman" w:cs="Times New Roman"/>
        </w:rPr>
        <w:t xml:space="preserve"> (2012), </w:t>
      </w:r>
      <w:r w:rsidR="007E041C" w:rsidRPr="00C562D6">
        <w:rPr>
          <w:rFonts w:ascii="Times New Roman" w:hAnsi="Times New Roman" w:cs="Times New Roman"/>
          <w:i/>
        </w:rPr>
        <w:t xml:space="preserve">Rebel Cities: from the Right to the City to the Urban Revolution, </w:t>
      </w:r>
      <w:r w:rsidR="006F3242" w:rsidRPr="00C562D6">
        <w:rPr>
          <w:rFonts w:ascii="Times New Roman" w:hAnsi="Times New Roman" w:cs="Times New Roman"/>
        </w:rPr>
        <w:t xml:space="preserve">Verso, </w:t>
      </w:r>
      <w:proofErr w:type="gramStart"/>
      <w:r w:rsidR="006F3242" w:rsidRPr="00C562D6">
        <w:rPr>
          <w:rFonts w:ascii="Times New Roman" w:hAnsi="Times New Roman" w:cs="Times New Roman"/>
        </w:rPr>
        <w:t>London</w:t>
      </w:r>
      <w:proofErr w:type="gramEnd"/>
      <w:r w:rsidR="006F3242" w:rsidRPr="00C562D6">
        <w:rPr>
          <w:rFonts w:ascii="Times New Roman" w:hAnsi="Times New Roman" w:cs="Times New Roman"/>
        </w:rPr>
        <w:t>.</w:t>
      </w:r>
    </w:p>
    <w:p w:rsidR="00AC7932" w:rsidRPr="00C562D6" w:rsidRDefault="00AC7932" w:rsidP="00AC7932">
      <w:pPr>
        <w:rPr>
          <w:rFonts w:ascii="Times New Roman" w:hAnsi="Times New Roman" w:cs="Times New Roman"/>
          <w:b/>
          <w:szCs w:val="24"/>
        </w:rPr>
      </w:pPr>
    </w:p>
    <w:p w:rsidR="00091246" w:rsidRPr="00C562D6" w:rsidRDefault="00091246" w:rsidP="00137C7B">
      <w:pPr>
        <w:pStyle w:val="FootnoteText"/>
        <w:rPr>
          <w:rFonts w:ascii="Times New Roman" w:hAnsi="Times New Roman" w:cs="Times New Roman"/>
          <w:sz w:val="24"/>
          <w:szCs w:val="24"/>
        </w:rPr>
      </w:pPr>
      <w:r w:rsidRPr="00C562D6">
        <w:rPr>
          <w:rFonts w:ascii="Times New Roman" w:hAnsi="Times New Roman" w:cs="Times New Roman"/>
          <w:sz w:val="24"/>
          <w:szCs w:val="24"/>
        </w:rPr>
        <w:t xml:space="preserve">Heywood, A. (2013), </w:t>
      </w:r>
      <w:proofErr w:type="gramStart"/>
      <w:r w:rsidRPr="00C562D6">
        <w:rPr>
          <w:rFonts w:ascii="Times New Roman" w:hAnsi="Times New Roman" w:cs="Times New Roman"/>
          <w:i/>
          <w:sz w:val="24"/>
          <w:szCs w:val="24"/>
        </w:rPr>
        <w:t>Investing</w:t>
      </w:r>
      <w:proofErr w:type="gramEnd"/>
      <w:r w:rsidRPr="00C562D6">
        <w:rPr>
          <w:rFonts w:ascii="Times New Roman" w:hAnsi="Times New Roman" w:cs="Times New Roman"/>
          <w:i/>
          <w:sz w:val="24"/>
          <w:szCs w:val="24"/>
        </w:rPr>
        <w:t xml:space="preserve"> in Social Housing: A guide to the development of the affordable housing sector</w:t>
      </w:r>
      <w:r w:rsidRPr="00C562D6">
        <w:rPr>
          <w:rFonts w:ascii="Times New Roman" w:hAnsi="Times New Roman" w:cs="Times New Roman"/>
          <w:sz w:val="24"/>
          <w:szCs w:val="24"/>
        </w:rPr>
        <w:t>, The Housing Finance Corporation.</w:t>
      </w:r>
    </w:p>
    <w:p w:rsidR="000D29BA" w:rsidRPr="00C562D6" w:rsidRDefault="000D29BA" w:rsidP="00137C7B">
      <w:pPr>
        <w:pStyle w:val="FootnoteText"/>
        <w:rPr>
          <w:rFonts w:ascii="Times New Roman" w:hAnsi="Times New Roman" w:cs="Times New Roman"/>
          <w:sz w:val="24"/>
          <w:szCs w:val="24"/>
        </w:rPr>
      </w:pPr>
    </w:p>
    <w:p w:rsidR="000D29BA" w:rsidRPr="00C562D6" w:rsidRDefault="000D29BA" w:rsidP="00137C7B">
      <w:pPr>
        <w:pStyle w:val="FootnoteText"/>
        <w:rPr>
          <w:rFonts w:ascii="Times New Roman" w:hAnsi="Times New Roman" w:cs="Times New Roman"/>
          <w:sz w:val="24"/>
          <w:szCs w:val="24"/>
        </w:rPr>
      </w:pPr>
      <w:proofErr w:type="gramStart"/>
      <w:r w:rsidRPr="00C562D6">
        <w:rPr>
          <w:rFonts w:ascii="Times New Roman" w:hAnsi="Times New Roman" w:cs="Times New Roman"/>
          <w:sz w:val="24"/>
          <w:szCs w:val="24"/>
        </w:rPr>
        <w:t>Homes and Communities Agency (HCA) (2011), 2011-15 Affordable Homes Programme – Framework, Homes and Communities Agency, London.</w:t>
      </w:r>
      <w:proofErr w:type="gramEnd"/>
    </w:p>
    <w:p w:rsidR="00F85496" w:rsidRPr="00C562D6" w:rsidRDefault="00F85496" w:rsidP="00137C7B">
      <w:pPr>
        <w:pStyle w:val="FootnoteText"/>
        <w:rPr>
          <w:rFonts w:ascii="Times New Roman" w:hAnsi="Times New Roman" w:cs="Times New Roman"/>
          <w:sz w:val="24"/>
          <w:szCs w:val="24"/>
        </w:rPr>
      </w:pPr>
    </w:p>
    <w:p w:rsidR="00F85496" w:rsidRPr="00C562D6" w:rsidRDefault="00F85496" w:rsidP="00F85496">
      <w:pPr>
        <w:pStyle w:val="FootnoteText"/>
        <w:rPr>
          <w:rFonts w:ascii="Times New Roman" w:hAnsi="Times New Roman" w:cs="Times New Roman"/>
          <w:sz w:val="24"/>
          <w:szCs w:val="24"/>
        </w:rPr>
      </w:pPr>
      <w:proofErr w:type="gramStart"/>
      <w:r w:rsidRPr="00C562D6">
        <w:rPr>
          <w:rFonts w:ascii="Times New Roman" w:hAnsi="Times New Roman" w:cs="Times New Roman"/>
          <w:sz w:val="24"/>
          <w:szCs w:val="24"/>
        </w:rPr>
        <w:t xml:space="preserve">Housing Corporation (2007a), </w:t>
      </w:r>
      <w:r w:rsidRPr="00C562D6">
        <w:rPr>
          <w:rFonts w:ascii="Times New Roman" w:hAnsi="Times New Roman" w:cs="Times New Roman"/>
          <w:i/>
          <w:sz w:val="24"/>
          <w:szCs w:val="24"/>
        </w:rPr>
        <w:t>National Affordable Housing Programme 2008-11Prospectus</w:t>
      </w:r>
      <w:r w:rsidRPr="00C562D6">
        <w:rPr>
          <w:rFonts w:ascii="Times New Roman" w:hAnsi="Times New Roman" w:cs="Times New Roman"/>
          <w:sz w:val="24"/>
          <w:szCs w:val="24"/>
        </w:rPr>
        <w:t>, September 2007, Housing Corporation, London.</w:t>
      </w:r>
      <w:proofErr w:type="gramEnd"/>
    </w:p>
    <w:p w:rsidR="00C4253A" w:rsidRPr="00C562D6" w:rsidRDefault="00C4253A" w:rsidP="00F85496">
      <w:pPr>
        <w:pStyle w:val="FootnoteText"/>
        <w:rPr>
          <w:rFonts w:ascii="Times New Roman" w:hAnsi="Times New Roman" w:cs="Times New Roman"/>
          <w:sz w:val="24"/>
          <w:szCs w:val="24"/>
        </w:rPr>
      </w:pPr>
    </w:p>
    <w:p w:rsidR="00C4253A" w:rsidRPr="00C562D6" w:rsidRDefault="00C4253A" w:rsidP="00F85496">
      <w:pPr>
        <w:pStyle w:val="FootnoteText"/>
        <w:rPr>
          <w:rFonts w:ascii="Times New Roman" w:hAnsi="Times New Roman" w:cs="Times New Roman"/>
          <w:sz w:val="24"/>
          <w:szCs w:val="24"/>
        </w:rPr>
      </w:pPr>
      <w:proofErr w:type="gramStart"/>
      <w:r w:rsidRPr="00C562D6">
        <w:rPr>
          <w:rFonts w:ascii="Times New Roman" w:hAnsi="Times New Roman" w:cs="Times New Roman"/>
          <w:sz w:val="24"/>
          <w:szCs w:val="24"/>
        </w:rPr>
        <w:t xml:space="preserve">Housing Corporation (2007b), </w:t>
      </w:r>
      <w:r w:rsidRPr="00C562D6">
        <w:rPr>
          <w:rFonts w:ascii="Times New Roman" w:hAnsi="Times New Roman" w:cs="Times New Roman"/>
          <w:i/>
          <w:sz w:val="24"/>
          <w:szCs w:val="24"/>
        </w:rPr>
        <w:t>Design and Quality Standards,</w:t>
      </w:r>
      <w:r w:rsidRPr="00C562D6">
        <w:rPr>
          <w:rFonts w:ascii="Times New Roman" w:hAnsi="Times New Roman" w:cs="Times New Roman"/>
          <w:sz w:val="24"/>
          <w:szCs w:val="24"/>
        </w:rPr>
        <w:t xml:space="preserve"> April 2007,</w:t>
      </w:r>
      <w:r w:rsidRPr="00C562D6">
        <w:rPr>
          <w:rFonts w:ascii="Times New Roman" w:hAnsi="Times New Roman" w:cs="Times New Roman"/>
          <w:i/>
          <w:sz w:val="24"/>
          <w:szCs w:val="24"/>
        </w:rPr>
        <w:t xml:space="preserve"> </w:t>
      </w:r>
      <w:r w:rsidRPr="00C562D6">
        <w:rPr>
          <w:rFonts w:ascii="Times New Roman" w:hAnsi="Times New Roman" w:cs="Times New Roman"/>
          <w:sz w:val="24"/>
          <w:szCs w:val="24"/>
        </w:rPr>
        <w:t>Housing Corporation, London.</w:t>
      </w:r>
      <w:proofErr w:type="gramEnd"/>
    </w:p>
    <w:p w:rsidR="00020F12" w:rsidRPr="00C562D6" w:rsidRDefault="00020F12" w:rsidP="00F85496">
      <w:pPr>
        <w:pStyle w:val="FootnoteText"/>
        <w:rPr>
          <w:rFonts w:ascii="Times New Roman" w:hAnsi="Times New Roman" w:cs="Times New Roman"/>
          <w:sz w:val="24"/>
          <w:szCs w:val="24"/>
        </w:rPr>
      </w:pPr>
    </w:p>
    <w:p w:rsidR="00020F12" w:rsidRPr="00C562D6" w:rsidRDefault="00020F12" w:rsidP="00F85496">
      <w:pPr>
        <w:pStyle w:val="FootnoteText"/>
        <w:rPr>
          <w:rFonts w:ascii="Times New Roman" w:hAnsi="Times New Roman" w:cs="Times New Roman"/>
          <w:sz w:val="24"/>
          <w:szCs w:val="24"/>
        </w:rPr>
      </w:pPr>
      <w:proofErr w:type="spellStart"/>
      <w:r w:rsidRPr="00C562D6">
        <w:rPr>
          <w:rFonts w:ascii="Times New Roman" w:hAnsi="Times New Roman" w:cs="Times New Roman"/>
          <w:sz w:val="24"/>
          <w:szCs w:val="24"/>
        </w:rPr>
        <w:t>Lapavitsas</w:t>
      </w:r>
      <w:proofErr w:type="spellEnd"/>
      <w:r w:rsidRPr="00C562D6">
        <w:rPr>
          <w:rFonts w:ascii="Times New Roman" w:hAnsi="Times New Roman" w:cs="Times New Roman"/>
          <w:sz w:val="24"/>
          <w:szCs w:val="24"/>
        </w:rPr>
        <w:t>, C. (2009)</w:t>
      </w:r>
      <w:r w:rsidR="00F605C9" w:rsidRPr="00C562D6">
        <w:rPr>
          <w:rFonts w:ascii="Times New Roman" w:hAnsi="Times New Roman" w:cs="Times New Roman"/>
          <w:sz w:val="24"/>
          <w:szCs w:val="24"/>
        </w:rPr>
        <w:t xml:space="preserve">, ‘Financialised Capitalism: Crisis and Financial Expropriation’, </w:t>
      </w:r>
      <w:r w:rsidR="00F605C9" w:rsidRPr="00C562D6">
        <w:rPr>
          <w:rFonts w:ascii="Times New Roman" w:hAnsi="Times New Roman" w:cs="Times New Roman"/>
          <w:i/>
          <w:sz w:val="24"/>
          <w:szCs w:val="24"/>
        </w:rPr>
        <w:t>Historical Materialism</w:t>
      </w:r>
      <w:r w:rsidR="00F605C9" w:rsidRPr="00C562D6">
        <w:rPr>
          <w:rFonts w:ascii="Times New Roman" w:hAnsi="Times New Roman" w:cs="Times New Roman"/>
          <w:sz w:val="24"/>
          <w:szCs w:val="24"/>
        </w:rPr>
        <w:t>, Vol. 17, pp. 114-148.</w:t>
      </w:r>
    </w:p>
    <w:p w:rsidR="00091246" w:rsidRPr="00C562D6" w:rsidRDefault="00091246" w:rsidP="00137C7B">
      <w:pPr>
        <w:pStyle w:val="FootnoteText"/>
        <w:rPr>
          <w:rFonts w:ascii="Times New Roman" w:hAnsi="Times New Roman" w:cs="Times New Roman"/>
          <w:sz w:val="24"/>
          <w:szCs w:val="24"/>
          <w:lang w:val="en-GB"/>
        </w:rPr>
      </w:pPr>
    </w:p>
    <w:p w:rsidR="00AA258D" w:rsidRPr="00C562D6" w:rsidRDefault="00AA258D" w:rsidP="00137C7B">
      <w:pPr>
        <w:pStyle w:val="FootnoteText"/>
        <w:rPr>
          <w:rFonts w:ascii="Times New Roman" w:hAnsi="Times New Roman" w:cs="Times New Roman"/>
          <w:sz w:val="24"/>
          <w:szCs w:val="24"/>
          <w:lang w:val="en-GB"/>
        </w:rPr>
      </w:pPr>
      <w:r w:rsidRPr="00C562D6">
        <w:rPr>
          <w:rFonts w:ascii="Times New Roman" w:hAnsi="Times New Roman" w:cs="Times New Roman"/>
          <w:sz w:val="24"/>
          <w:szCs w:val="24"/>
          <w:lang w:val="en-GB"/>
        </w:rPr>
        <w:t xml:space="preserve">Lee, A. D. (2002), </w:t>
      </w:r>
      <w:r w:rsidRPr="00C562D6">
        <w:rPr>
          <w:rFonts w:ascii="Times New Roman" w:hAnsi="Times New Roman" w:cs="Times New Roman"/>
          <w:bCs/>
          <w:i/>
          <w:sz w:val="24"/>
          <w:szCs w:val="24"/>
          <w:lang w:val="en-GB"/>
        </w:rPr>
        <w:t>The Development and Operation of Large Scale Voluntary Transfer Associations 1988 – 1999</w:t>
      </w:r>
      <w:r w:rsidRPr="00C562D6">
        <w:rPr>
          <w:rFonts w:ascii="Times New Roman" w:hAnsi="Times New Roman" w:cs="Times New Roman"/>
          <w:bCs/>
          <w:sz w:val="24"/>
          <w:szCs w:val="24"/>
          <w:lang w:val="en-GB"/>
        </w:rPr>
        <w:t xml:space="preserve">, unpublished PhD thesis, available at: </w:t>
      </w:r>
      <w:hyperlink r:id="rId13" w:history="1">
        <w:r w:rsidRPr="00C562D6">
          <w:rPr>
            <w:rStyle w:val="Hyperlink"/>
            <w:rFonts w:ascii="Times New Roman" w:hAnsi="Times New Roman" w:cs="Times New Roman"/>
            <w:bCs/>
            <w:sz w:val="24"/>
            <w:szCs w:val="24"/>
            <w:lang w:val="en-GB"/>
          </w:rPr>
          <w:t>http://etheses.lse.ac.uk/37/</w:t>
        </w:r>
      </w:hyperlink>
      <w:r w:rsidRPr="00C562D6">
        <w:rPr>
          <w:rFonts w:ascii="Times New Roman" w:hAnsi="Times New Roman" w:cs="Times New Roman"/>
          <w:bCs/>
          <w:sz w:val="24"/>
          <w:szCs w:val="24"/>
          <w:lang w:val="en-GB"/>
        </w:rPr>
        <w:t xml:space="preserve"> (accessed on 30 August 2014).</w:t>
      </w:r>
    </w:p>
    <w:p w:rsidR="007E041C" w:rsidRPr="00C562D6" w:rsidRDefault="007E041C" w:rsidP="00137C7B">
      <w:pPr>
        <w:pStyle w:val="FootnoteText"/>
        <w:rPr>
          <w:rFonts w:ascii="Times New Roman" w:hAnsi="Times New Roman" w:cs="Times New Roman"/>
          <w:sz w:val="24"/>
          <w:szCs w:val="24"/>
          <w:lang w:val="en-GB"/>
        </w:rPr>
      </w:pPr>
    </w:p>
    <w:p w:rsidR="007E041C" w:rsidRPr="00C562D6" w:rsidRDefault="00103C22" w:rsidP="00137C7B">
      <w:pPr>
        <w:pStyle w:val="FootnoteText"/>
        <w:rPr>
          <w:rFonts w:ascii="Times New Roman" w:hAnsi="Times New Roman" w:cs="Times New Roman"/>
          <w:i/>
          <w:sz w:val="24"/>
          <w:szCs w:val="24"/>
          <w:lang w:val="en-GB"/>
        </w:rPr>
      </w:pPr>
      <w:r w:rsidRPr="00C562D6">
        <w:rPr>
          <w:rFonts w:ascii="Times New Roman" w:hAnsi="Times New Roman" w:cs="Times New Roman"/>
          <w:sz w:val="24"/>
          <w:szCs w:val="24"/>
          <w:lang w:val="en-GB"/>
        </w:rPr>
        <w:t>L</w:t>
      </w:r>
      <w:r w:rsidR="007E041C" w:rsidRPr="00C562D6">
        <w:rPr>
          <w:rFonts w:ascii="Times New Roman" w:hAnsi="Times New Roman" w:cs="Times New Roman"/>
          <w:sz w:val="24"/>
          <w:szCs w:val="24"/>
          <w:lang w:val="en-GB"/>
        </w:rPr>
        <w:t xml:space="preserve">yons </w:t>
      </w:r>
      <w:r w:rsidR="00BB7A8E" w:rsidRPr="00C562D6">
        <w:rPr>
          <w:rFonts w:ascii="Times New Roman" w:hAnsi="Times New Roman" w:cs="Times New Roman"/>
          <w:sz w:val="24"/>
          <w:szCs w:val="24"/>
          <w:lang w:val="en-GB"/>
        </w:rPr>
        <w:t>Housing Review</w:t>
      </w:r>
      <w:r w:rsidRPr="00C562D6">
        <w:rPr>
          <w:rFonts w:ascii="Times New Roman" w:hAnsi="Times New Roman" w:cs="Times New Roman"/>
          <w:sz w:val="24"/>
          <w:szCs w:val="24"/>
          <w:lang w:val="en-GB"/>
        </w:rPr>
        <w:t xml:space="preserve">, The (2014), </w:t>
      </w:r>
      <w:r w:rsidRPr="00C562D6">
        <w:rPr>
          <w:rFonts w:ascii="Times New Roman" w:hAnsi="Times New Roman" w:cs="Times New Roman"/>
          <w:i/>
          <w:sz w:val="24"/>
          <w:szCs w:val="24"/>
          <w:lang w:val="en-GB"/>
        </w:rPr>
        <w:t xml:space="preserve">Mobilising across the nation to build the homes our children need, </w:t>
      </w:r>
      <w:r w:rsidRPr="00C562D6">
        <w:rPr>
          <w:rFonts w:ascii="Times New Roman" w:hAnsi="Times New Roman" w:cs="Times New Roman"/>
          <w:sz w:val="24"/>
          <w:szCs w:val="24"/>
          <w:lang w:val="en-GB"/>
        </w:rPr>
        <w:t>Digital Creative Services, London.</w:t>
      </w:r>
      <w:r w:rsidRPr="00C562D6">
        <w:rPr>
          <w:rFonts w:ascii="Times New Roman" w:hAnsi="Times New Roman" w:cs="Times New Roman"/>
          <w:i/>
          <w:sz w:val="24"/>
          <w:szCs w:val="24"/>
          <w:lang w:val="en-GB"/>
        </w:rPr>
        <w:t xml:space="preserve"> </w:t>
      </w:r>
    </w:p>
    <w:p w:rsidR="00137C7B" w:rsidRPr="00C562D6" w:rsidRDefault="00137C7B" w:rsidP="00AC7932">
      <w:pPr>
        <w:pStyle w:val="FootnoteText"/>
        <w:rPr>
          <w:rFonts w:ascii="Times New Roman" w:hAnsi="Times New Roman" w:cs="Times New Roman"/>
          <w:sz w:val="24"/>
          <w:szCs w:val="24"/>
        </w:rPr>
      </w:pPr>
    </w:p>
    <w:p w:rsidR="00BB7A8E" w:rsidRPr="00C562D6" w:rsidRDefault="00BB7A8E" w:rsidP="00AC7932">
      <w:pPr>
        <w:pStyle w:val="FootnoteText"/>
        <w:rPr>
          <w:rFonts w:ascii="Times New Roman" w:hAnsi="Times New Roman" w:cs="Times New Roman"/>
          <w:sz w:val="24"/>
          <w:szCs w:val="24"/>
          <w:lang w:val="en-US"/>
        </w:rPr>
      </w:pPr>
      <w:proofErr w:type="gramStart"/>
      <w:r w:rsidRPr="00C562D6">
        <w:rPr>
          <w:rFonts w:ascii="Times New Roman" w:hAnsi="Times New Roman" w:cs="Times New Roman"/>
          <w:sz w:val="24"/>
          <w:szCs w:val="24"/>
          <w:lang w:val="en-US"/>
        </w:rPr>
        <w:t xml:space="preserve">Marx, K. (1990), </w:t>
      </w:r>
      <w:r w:rsidRPr="00C562D6">
        <w:rPr>
          <w:rFonts w:ascii="Times New Roman" w:hAnsi="Times New Roman" w:cs="Times New Roman"/>
          <w:i/>
          <w:sz w:val="24"/>
          <w:szCs w:val="24"/>
          <w:lang w:val="en-US"/>
        </w:rPr>
        <w:t xml:space="preserve">Capital, Volume 1, </w:t>
      </w:r>
      <w:r w:rsidRPr="00C562D6">
        <w:rPr>
          <w:rFonts w:ascii="Times New Roman" w:hAnsi="Times New Roman" w:cs="Times New Roman"/>
          <w:sz w:val="24"/>
          <w:szCs w:val="24"/>
          <w:lang w:val="en-US"/>
        </w:rPr>
        <w:t>Penguin Classics, London.</w:t>
      </w:r>
      <w:proofErr w:type="gramEnd"/>
    </w:p>
    <w:p w:rsidR="000C2C06" w:rsidRPr="00C562D6" w:rsidRDefault="000C2C06" w:rsidP="00AC7932">
      <w:pPr>
        <w:pStyle w:val="FootnoteText"/>
        <w:rPr>
          <w:rFonts w:ascii="Times New Roman" w:hAnsi="Times New Roman" w:cs="Times New Roman"/>
          <w:sz w:val="24"/>
          <w:szCs w:val="24"/>
          <w:lang w:val="en-US"/>
        </w:rPr>
      </w:pPr>
    </w:p>
    <w:p w:rsidR="000C2C06" w:rsidRPr="00C562D6" w:rsidRDefault="000C2C06" w:rsidP="00AC7932">
      <w:pPr>
        <w:pStyle w:val="FootnoteText"/>
        <w:rPr>
          <w:rFonts w:ascii="Times New Roman" w:hAnsi="Times New Roman" w:cs="Times New Roman"/>
          <w:sz w:val="24"/>
          <w:szCs w:val="24"/>
        </w:rPr>
      </w:pPr>
      <w:r w:rsidRPr="00C562D6">
        <w:rPr>
          <w:rFonts w:ascii="Times New Roman" w:hAnsi="Times New Roman" w:cs="Times New Roman"/>
          <w:sz w:val="24"/>
          <w:szCs w:val="24"/>
          <w:lang w:val="en-US"/>
        </w:rPr>
        <w:t xml:space="preserve">McKinsey Global Institute (2015), </w:t>
      </w:r>
      <w:r w:rsidRPr="00C562D6">
        <w:rPr>
          <w:rFonts w:ascii="Times New Roman" w:hAnsi="Times New Roman" w:cs="Times New Roman"/>
          <w:i/>
          <w:sz w:val="24"/>
          <w:szCs w:val="24"/>
          <w:lang w:val="en-US"/>
        </w:rPr>
        <w:t>Debt and (not much) deleveraging,</w:t>
      </w:r>
      <w:r w:rsidRPr="00C562D6">
        <w:rPr>
          <w:rFonts w:ascii="Times New Roman" w:hAnsi="Times New Roman" w:cs="Times New Roman"/>
          <w:sz w:val="24"/>
          <w:szCs w:val="24"/>
          <w:lang w:val="en-US"/>
        </w:rPr>
        <w:t xml:space="preserve"> February 2015.</w:t>
      </w:r>
    </w:p>
    <w:p w:rsidR="00BB7A8E" w:rsidRPr="00C562D6" w:rsidRDefault="00BB7A8E" w:rsidP="00AC7932">
      <w:pPr>
        <w:pStyle w:val="FootnoteText"/>
        <w:rPr>
          <w:rFonts w:ascii="Times New Roman" w:hAnsi="Times New Roman" w:cs="Times New Roman"/>
          <w:sz w:val="24"/>
          <w:szCs w:val="24"/>
        </w:rPr>
      </w:pPr>
    </w:p>
    <w:p w:rsidR="00AC7932" w:rsidRPr="00C562D6" w:rsidRDefault="00AC7932" w:rsidP="00AC7932">
      <w:pPr>
        <w:pStyle w:val="FootnoteText"/>
        <w:rPr>
          <w:rFonts w:ascii="Times New Roman" w:hAnsi="Times New Roman" w:cs="Times New Roman"/>
          <w:sz w:val="24"/>
          <w:szCs w:val="24"/>
        </w:rPr>
      </w:pPr>
      <w:proofErr w:type="spellStart"/>
      <w:r w:rsidRPr="00C562D6">
        <w:rPr>
          <w:rFonts w:ascii="Times New Roman" w:hAnsi="Times New Roman" w:cs="Times New Roman"/>
          <w:sz w:val="24"/>
          <w:szCs w:val="24"/>
        </w:rPr>
        <w:t>Murie</w:t>
      </w:r>
      <w:proofErr w:type="spellEnd"/>
      <w:r w:rsidRPr="00C562D6">
        <w:rPr>
          <w:rFonts w:ascii="Times New Roman" w:hAnsi="Times New Roman" w:cs="Times New Roman"/>
          <w:sz w:val="24"/>
          <w:szCs w:val="24"/>
        </w:rPr>
        <w:t>, A. (2012</w:t>
      </w:r>
      <w:r w:rsidR="00944E9A" w:rsidRPr="00C562D6">
        <w:rPr>
          <w:rFonts w:ascii="Times New Roman" w:hAnsi="Times New Roman" w:cs="Times New Roman"/>
          <w:sz w:val="24"/>
          <w:szCs w:val="24"/>
        </w:rPr>
        <w:t xml:space="preserve">), ‘The Next Blueprint for Housing Policy in England’, </w:t>
      </w:r>
      <w:r w:rsidR="00944E9A" w:rsidRPr="00C562D6">
        <w:rPr>
          <w:rFonts w:ascii="Times New Roman" w:hAnsi="Times New Roman" w:cs="Times New Roman"/>
          <w:i/>
          <w:sz w:val="24"/>
          <w:szCs w:val="24"/>
        </w:rPr>
        <w:t xml:space="preserve">Housing Studies, </w:t>
      </w:r>
      <w:r w:rsidR="00944E9A" w:rsidRPr="00C562D6">
        <w:rPr>
          <w:rFonts w:ascii="Times New Roman" w:hAnsi="Times New Roman" w:cs="Times New Roman"/>
          <w:sz w:val="24"/>
          <w:szCs w:val="24"/>
        </w:rPr>
        <w:t>Vol. 27 No. 7, pp. 1031-1047.</w:t>
      </w:r>
      <w:r w:rsidRPr="00C562D6">
        <w:rPr>
          <w:rFonts w:ascii="Times New Roman" w:hAnsi="Times New Roman" w:cs="Times New Roman"/>
          <w:sz w:val="24"/>
          <w:szCs w:val="24"/>
        </w:rPr>
        <w:t xml:space="preserve"> </w:t>
      </w:r>
    </w:p>
    <w:p w:rsidR="00570884" w:rsidRPr="00C562D6" w:rsidRDefault="00570884" w:rsidP="00AC7932">
      <w:pPr>
        <w:pStyle w:val="FootnoteText"/>
        <w:rPr>
          <w:rFonts w:ascii="Times New Roman" w:hAnsi="Times New Roman" w:cs="Times New Roman"/>
          <w:sz w:val="24"/>
          <w:szCs w:val="24"/>
        </w:rPr>
      </w:pPr>
    </w:p>
    <w:p w:rsidR="0092235F" w:rsidRPr="00C562D6" w:rsidRDefault="0092235F" w:rsidP="0092235F">
      <w:pPr>
        <w:pStyle w:val="Default"/>
        <w:rPr>
          <w:rFonts w:ascii="Times New Roman" w:hAnsi="Times New Roman" w:cs="Times New Roman"/>
          <w:color w:val="000000" w:themeColor="text1"/>
          <w:u w:val="none"/>
        </w:rPr>
      </w:pPr>
      <w:r w:rsidRPr="00C562D6">
        <w:rPr>
          <w:rFonts w:ascii="Times New Roman" w:hAnsi="Times New Roman" w:cs="Times New Roman"/>
          <w:color w:val="000000" w:themeColor="text1"/>
          <w:u w:val="none"/>
        </w:rPr>
        <w:t xml:space="preserve">National Audit Office (NAO) (2012), </w:t>
      </w:r>
      <w:proofErr w:type="gramStart"/>
      <w:r w:rsidRPr="00C562D6">
        <w:rPr>
          <w:rFonts w:ascii="Times New Roman" w:hAnsi="Times New Roman" w:cs="Times New Roman"/>
          <w:bCs/>
          <w:i/>
          <w:color w:val="000000" w:themeColor="text1"/>
          <w:u w:val="none"/>
        </w:rPr>
        <w:t>Financial</w:t>
      </w:r>
      <w:proofErr w:type="gramEnd"/>
      <w:r w:rsidRPr="00C562D6">
        <w:rPr>
          <w:rFonts w:ascii="Times New Roman" w:hAnsi="Times New Roman" w:cs="Times New Roman"/>
          <w:bCs/>
          <w:i/>
          <w:color w:val="000000" w:themeColor="text1"/>
          <w:u w:val="none"/>
        </w:rPr>
        <w:t xml:space="preserve"> viability of the social housing sector: introducing the Affordable Homes Programme, </w:t>
      </w:r>
      <w:r w:rsidRPr="00C562D6">
        <w:rPr>
          <w:rFonts w:ascii="Times New Roman" w:hAnsi="Times New Roman" w:cs="Times New Roman"/>
          <w:bCs/>
          <w:color w:val="000000" w:themeColor="text1"/>
          <w:u w:val="none"/>
        </w:rPr>
        <w:t>The Stationery Office, Norwich/London.</w:t>
      </w:r>
    </w:p>
    <w:p w:rsidR="0092235F" w:rsidRPr="00C562D6" w:rsidRDefault="0092235F" w:rsidP="00AC7932">
      <w:pPr>
        <w:pStyle w:val="FootnoteText"/>
        <w:rPr>
          <w:rFonts w:ascii="Times New Roman" w:hAnsi="Times New Roman" w:cs="Times New Roman"/>
          <w:sz w:val="24"/>
          <w:szCs w:val="24"/>
        </w:rPr>
      </w:pPr>
    </w:p>
    <w:p w:rsidR="003E2750" w:rsidRPr="00C562D6" w:rsidRDefault="00570884" w:rsidP="00AC7932">
      <w:pPr>
        <w:pStyle w:val="FootnoteText"/>
        <w:rPr>
          <w:rFonts w:ascii="Times New Roman" w:hAnsi="Times New Roman" w:cs="Times New Roman"/>
          <w:i/>
          <w:sz w:val="24"/>
          <w:szCs w:val="24"/>
        </w:rPr>
      </w:pPr>
      <w:r w:rsidRPr="00C562D6">
        <w:rPr>
          <w:rFonts w:ascii="Times New Roman" w:hAnsi="Times New Roman" w:cs="Times New Roman"/>
          <w:sz w:val="24"/>
          <w:szCs w:val="24"/>
        </w:rPr>
        <w:t xml:space="preserve">Pawson, H. and Wilcox, S. (2011), </w:t>
      </w:r>
      <w:r w:rsidRPr="00C562D6">
        <w:rPr>
          <w:rFonts w:ascii="Times New Roman" w:hAnsi="Times New Roman" w:cs="Times New Roman"/>
          <w:i/>
          <w:sz w:val="24"/>
          <w:szCs w:val="24"/>
        </w:rPr>
        <w:t>UK Housing Review 2011,</w:t>
      </w:r>
      <w:r w:rsidR="006F3242" w:rsidRPr="00C562D6">
        <w:rPr>
          <w:rFonts w:ascii="Times New Roman" w:hAnsi="Times New Roman" w:cs="Times New Roman"/>
          <w:szCs w:val="18"/>
        </w:rPr>
        <w:t xml:space="preserve"> </w:t>
      </w:r>
      <w:r w:rsidR="006F3242" w:rsidRPr="00C562D6">
        <w:rPr>
          <w:rFonts w:ascii="Times New Roman" w:hAnsi="Times New Roman" w:cs="Times New Roman"/>
          <w:sz w:val="24"/>
          <w:szCs w:val="24"/>
        </w:rPr>
        <w:t>Chartered Institute of Housing / Building Societies Association, Coventry/London.</w:t>
      </w:r>
    </w:p>
    <w:p w:rsidR="00570884" w:rsidRPr="00C562D6" w:rsidRDefault="00570884" w:rsidP="00AC7932">
      <w:pPr>
        <w:pStyle w:val="FootnoteText"/>
        <w:rPr>
          <w:rFonts w:ascii="Times New Roman" w:hAnsi="Times New Roman" w:cs="Times New Roman"/>
          <w:sz w:val="24"/>
          <w:szCs w:val="24"/>
        </w:rPr>
      </w:pPr>
    </w:p>
    <w:p w:rsidR="00331E7A" w:rsidRPr="00C562D6" w:rsidRDefault="00331E7A" w:rsidP="00331E7A">
      <w:pPr>
        <w:pStyle w:val="FootnoteText"/>
        <w:rPr>
          <w:rFonts w:ascii="Times New Roman" w:hAnsi="Times New Roman" w:cs="Times New Roman"/>
          <w:sz w:val="24"/>
          <w:szCs w:val="24"/>
          <w:lang w:val="en-GB"/>
        </w:rPr>
      </w:pPr>
      <w:r w:rsidRPr="00C562D6">
        <w:rPr>
          <w:rFonts w:ascii="Times New Roman" w:hAnsi="Times New Roman" w:cs="Times New Roman"/>
          <w:sz w:val="24"/>
          <w:szCs w:val="24"/>
          <w:lang w:val="en-GB"/>
        </w:rPr>
        <w:t xml:space="preserve">Tang, C.P.Y. (2010), </w:t>
      </w:r>
      <w:r w:rsidRPr="00C562D6">
        <w:rPr>
          <w:rFonts w:ascii="Times New Roman" w:hAnsi="Times New Roman" w:cs="Times New Roman"/>
          <w:i/>
          <w:sz w:val="24"/>
          <w:szCs w:val="24"/>
          <w:lang w:val="en-GB"/>
        </w:rPr>
        <w:t>Trends in Housing Association Stock in 2009</w:t>
      </w:r>
      <w:r w:rsidRPr="00C562D6">
        <w:rPr>
          <w:rFonts w:ascii="Times New Roman" w:hAnsi="Times New Roman" w:cs="Times New Roman"/>
          <w:sz w:val="24"/>
          <w:szCs w:val="24"/>
          <w:lang w:val="en-GB"/>
        </w:rPr>
        <w:t>, Cambridge Centre for Housing and Planning Research, Cambridge.</w:t>
      </w:r>
    </w:p>
    <w:p w:rsidR="00ED5791" w:rsidRPr="00C562D6" w:rsidRDefault="00ED5791" w:rsidP="00331E7A">
      <w:pPr>
        <w:pStyle w:val="FootnoteText"/>
        <w:rPr>
          <w:rFonts w:ascii="Times New Roman" w:hAnsi="Times New Roman" w:cs="Times New Roman"/>
          <w:sz w:val="24"/>
          <w:szCs w:val="24"/>
          <w:lang w:val="en-GB"/>
        </w:rPr>
      </w:pPr>
    </w:p>
    <w:p w:rsidR="00ED5791" w:rsidRPr="00C562D6" w:rsidRDefault="00ED5791" w:rsidP="00331E7A">
      <w:pPr>
        <w:pStyle w:val="FootnoteText"/>
        <w:rPr>
          <w:rFonts w:ascii="Times New Roman" w:hAnsi="Times New Roman" w:cs="Times New Roman"/>
          <w:sz w:val="24"/>
          <w:szCs w:val="24"/>
          <w:lang w:val="en-GB"/>
        </w:rPr>
      </w:pPr>
      <w:r w:rsidRPr="00C562D6">
        <w:rPr>
          <w:rFonts w:ascii="Times New Roman" w:hAnsi="Times New Roman" w:cs="Times New Roman"/>
          <w:sz w:val="24"/>
          <w:szCs w:val="24"/>
          <w:lang w:val="en-GB"/>
        </w:rPr>
        <w:t xml:space="preserve">Thomas, G. (2011), </w:t>
      </w:r>
      <w:r w:rsidRPr="00C562D6">
        <w:rPr>
          <w:rFonts w:ascii="Times New Roman" w:hAnsi="Times New Roman" w:cs="Times New Roman"/>
          <w:i/>
          <w:sz w:val="24"/>
          <w:szCs w:val="24"/>
          <w:lang w:val="en-GB"/>
        </w:rPr>
        <w:t xml:space="preserve">How to do Your Case Study: A Guide for Students and Researchers, </w:t>
      </w:r>
      <w:r w:rsidRPr="00C562D6">
        <w:rPr>
          <w:rFonts w:ascii="Times New Roman" w:hAnsi="Times New Roman" w:cs="Times New Roman"/>
          <w:sz w:val="24"/>
          <w:szCs w:val="24"/>
          <w:lang w:val="en-GB"/>
        </w:rPr>
        <w:t>Sage Publications, London.</w:t>
      </w:r>
    </w:p>
    <w:p w:rsidR="00331E7A" w:rsidRPr="00C562D6" w:rsidRDefault="00331E7A" w:rsidP="00AC7932">
      <w:pPr>
        <w:pStyle w:val="FootnoteText"/>
        <w:rPr>
          <w:rFonts w:ascii="Times New Roman" w:hAnsi="Times New Roman" w:cs="Times New Roman"/>
          <w:sz w:val="24"/>
          <w:szCs w:val="24"/>
        </w:rPr>
      </w:pPr>
    </w:p>
    <w:p w:rsidR="00340B85" w:rsidRPr="00C562D6" w:rsidRDefault="006F3242" w:rsidP="006F3242">
      <w:pPr>
        <w:rPr>
          <w:rFonts w:ascii="Times New Roman" w:hAnsi="Times New Roman" w:cs="Times New Roman"/>
        </w:rPr>
      </w:pPr>
      <w:r w:rsidRPr="00C562D6">
        <w:rPr>
          <w:rFonts w:ascii="Times New Roman" w:hAnsi="Times New Roman" w:cs="Times New Roman"/>
        </w:rPr>
        <w:t xml:space="preserve">Wilcox, S. (2006). </w:t>
      </w:r>
      <w:proofErr w:type="gramStart"/>
      <w:r w:rsidRPr="00C562D6">
        <w:rPr>
          <w:rFonts w:ascii="Times New Roman" w:hAnsi="Times New Roman" w:cs="Times New Roman"/>
          <w:i/>
          <w:iCs/>
        </w:rPr>
        <w:t>Housing Finance Review 2006/07,</w:t>
      </w:r>
      <w:r w:rsidRPr="00C562D6">
        <w:rPr>
          <w:rFonts w:ascii="Times New Roman" w:hAnsi="Times New Roman" w:cs="Times New Roman"/>
        </w:rPr>
        <w:t xml:space="preserve"> Joseph Rowntree Foundation, York.</w:t>
      </w:r>
      <w:proofErr w:type="gramEnd"/>
      <w:r w:rsidR="00340B85" w:rsidRPr="00C562D6">
        <w:rPr>
          <w:rFonts w:ascii="Times New Roman" w:hAnsi="Times New Roman" w:cs="Times New Roman"/>
          <w:bCs/>
        </w:rPr>
        <w:t xml:space="preserve"> </w:t>
      </w:r>
    </w:p>
    <w:p w:rsidR="00340B85" w:rsidRPr="00C562D6" w:rsidRDefault="00340B85" w:rsidP="00AC7932">
      <w:pPr>
        <w:pStyle w:val="FootnoteText"/>
        <w:rPr>
          <w:rFonts w:ascii="Times New Roman" w:hAnsi="Times New Roman" w:cs="Times New Roman"/>
          <w:sz w:val="24"/>
          <w:szCs w:val="24"/>
        </w:rPr>
      </w:pPr>
    </w:p>
    <w:p w:rsidR="003E2750" w:rsidRPr="00C562D6" w:rsidRDefault="003E2750" w:rsidP="00AC7932">
      <w:pPr>
        <w:pStyle w:val="FootnoteText"/>
        <w:rPr>
          <w:rFonts w:ascii="Times New Roman" w:hAnsi="Times New Roman" w:cs="Times New Roman"/>
          <w:sz w:val="24"/>
          <w:szCs w:val="24"/>
        </w:rPr>
      </w:pPr>
      <w:r w:rsidRPr="00C562D6">
        <w:rPr>
          <w:rFonts w:ascii="Times New Roman" w:hAnsi="Times New Roman" w:cs="Times New Roman"/>
          <w:sz w:val="24"/>
          <w:szCs w:val="24"/>
        </w:rPr>
        <w:t xml:space="preserve">Wilcox, S. and Pawson, H. (2013), </w:t>
      </w:r>
      <w:r w:rsidRPr="00C562D6">
        <w:rPr>
          <w:rFonts w:ascii="Times New Roman" w:hAnsi="Times New Roman" w:cs="Times New Roman"/>
          <w:i/>
          <w:sz w:val="24"/>
          <w:szCs w:val="24"/>
        </w:rPr>
        <w:t>UK Housing Review 2013,</w:t>
      </w:r>
      <w:r w:rsidR="006F3242" w:rsidRPr="00C562D6">
        <w:rPr>
          <w:rFonts w:ascii="Times New Roman" w:hAnsi="Times New Roman" w:cs="Times New Roman"/>
          <w:szCs w:val="18"/>
        </w:rPr>
        <w:t xml:space="preserve"> </w:t>
      </w:r>
      <w:r w:rsidR="006F3242" w:rsidRPr="00C562D6">
        <w:rPr>
          <w:rFonts w:ascii="Times New Roman" w:hAnsi="Times New Roman" w:cs="Times New Roman"/>
          <w:sz w:val="24"/>
          <w:szCs w:val="24"/>
        </w:rPr>
        <w:t>Chartered Institute of Housing / Building Societies Association, Coventry/London.</w:t>
      </w:r>
    </w:p>
    <w:p w:rsidR="00AC7932" w:rsidRPr="00C562D6" w:rsidRDefault="00AC7932" w:rsidP="00AC7932">
      <w:pPr>
        <w:pStyle w:val="FootnoteText"/>
        <w:rPr>
          <w:rFonts w:ascii="Times New Roman" w:hAnsi="Times New Roman" w:cs="Times New Roman"/>
          <w:sz w:val="24"/>
          <w:szCs w:val="24"/>
        </w:rPr>
      </w:pPr>
    </w:p>
    <w:p w:rsidR="00AC7932" w:rsidRPr="00C562D6" w:rsidRDefault="00AC7932" w:rsidP="00AC7932">
      <w:pPr>
        <w:pStyle w:val="FootnoteText"/>
        <w:rPr>
          <w:rFonts w:ascii="Times New Roman" w:hAnsi="Times New Roman" w:cs="Times New Roman"/>
          <w:sz w:val="24"/>
          <w:szCs w:val="24"/>
        </w:rPr>
      </w:pPr>
      <w:r w:rsidRPr="00C562D6">
        <w:rPr>
          <w:rFonts w:ascii="Times New Roman" w:hAnsi="Times New Roman" w:cs="Times New Roman"/>
          <w:sz w:val="24"/>
          <w:szCs w:val="24"/>
        </w:rPr>
        <w:lastRenderedPageBreak/>
        <w:t>Wilcox, S. and Perry, J. (2014</w:t>
      </w:r>
      <w:r w:rsidR="00FC04D4" w:rsidRPr="00C562D6">
        <w:rPr>
          <w:rFonts w:ascii="Times New Roman" w:hAnsi="Times New Roman" w:cs="Times New Roman"/>
          <w:sz w:val="24"/>
          <w:szCs w:val="24"/>
        </w:rPr>
        <w:t>a</w:t>
      </w:r>
      <w:r w:rsidRPr="00C562D6">
        <w:rPr>
          <w:rFonts w:ascii="Times New Roman" w:hAnsi="Times New Roman" w:cs="Times New Roman"/>
          <w:sz w:val="24"/>
          <w:szCs w:val="24"/>
        </w:rPr>
        <w:t xml:space="preserve">), </w:t>
      </w:r>
      <w:r w:rsidRPr="00C562D6">
        <w:rPr>
          <w:rFonts w:ascii="Times New Roman" w:hAnsi="Times New Roman" w:cs="Times New Roman"/>
          <w:i/>
          <w:sz w:val="24"/>
          <w:szCs w:val="24"/>
        </w:rPr>
        <w:t>UK Housing Review 2014</w:t>
      </w:r>
      <w:r w:rsidRPr="00C562D6">
        <w:rPr>
          <w:rFonts w:ascii="Times New Roman" w:hAnsi="Times New Roman" w:cs="Times New Roman"/>
          <w:sz w:val="24"/>
          <w:szCs w:val="24"/>
        </w:rPr>
        <w:t xml:space="preserve">, </w:t>
      </w:r>
      <w:r w:rsidR="006F3242" w:rsidRPr="00C562D6">
        <w:rPr>
          <w:rFonts w:ascii="Times New Roman" w:hAnsi="Times New Roman" w:cs="Times New Roman"/>
          <w:sz w:val="24"/>
          <w:szCs w:val="24"/>
        </w:rPr>
        <w:t>Chartered Institute of Housing / Building Societies Association, Coventry/London.</w:t>
      </w:r>
    </w:p>
    <w:p w:rsidR="00AC7932" w:rsidRPr="00C562D6" w:rsidRDefault="00AC7932" w:rsidP="00AC7932">
      <w:pPr>
        <w:pStyle w:val="FootnoteText"/>
        <w:rPr>
          <w:rFonts w:ascii="Times New Roman" w:hAnsi="Times New Roman" w:cs="Times New Roman"/>
          <w:sz w:val="24"/>
          <w:szCs w:val="24"/>
        </w:rPr>
      </w:pPr>
    </w:p>
    <w:p w:rsidR="00FC04D4" w:rsidRPr="00C562D6" w:rsidRDefault="00FC04D4" w:rsidP="00AC7932">
      <w:pPr>
        <w:pStyle w:val="FootnoteText"/>
        <w:rPr>
          <w:rFonts w:ascii="Times New Roman" w:hAnsi="Times New Roman" w:cs="Times New Roman"/>
          <w:i/>
          <w:sz w:val="24"/>
          <w:szCs w:val="24"/>
        </w:rPr>
      </w:pPr>
      <w:r w:rsidRPr="00C562D6">
        <w:rPr>
          <w:rFonts w:ascii="Times New Roman" w:hAnsi="Times New Roman" w:cs="Times New Roman"/>
          <w:sz w:val="24"/>
          <w:szCs w:val="24"/>
        </w:rPr>
        <w:t xml:space="preserve">Wilcox, S. and Perry, J. (2014b), </w:t>
      </w:r>
      <w:r w:rsidRPr="00C562D6">
        <w:rPr>
          <w:rFonts w:ascii="Times New Roman" w:hAnsi="Times New Roman" w:cs="Times New Roman"/>
          <w:i/>
          <w:sz w:val="24"/>
          <w:szCs w:val="24"/>
        </w:rPr>
        <w:t>UK Housing Review: Briefing Paper 2014</w:t>
      </w:r>
      <w:r w:rsidR="006F3242" w:rsidRPr="00C562D6">
        <w:rPr>
          <w:rFonts w:ascii="Times New Roman" w:hAnsi="Times New Roman" w:cs="Times New Roman"/>
          <w:i/>
          <w:sz w:val="24"/>
          <w:szCs w:val="24"/>
        </w:rPr>
        <w:t xml:space="preserve">, </w:t>
      </w:r>
      <w:r w:rsidR="006F3242" w:rsidRPr="00C562D6">
        <w:rPr>
          <w:rFonts w:ascii="Times New Roman" w:hAnsi="Times New Roman" w:cs="Times New Roman"/>
          <w:sz w:val="24"/>
          <w:szCs w:val="24"/>
        </w:rPr>
        <w:t>Chartered Institute of Housing / Building Societies Association, Coventry/London.</w:t>
      </w:r>
    </w:p>
    <w:p w:rsidR="00585270" w:rsidRPr="00C562D6" w:rsidRDefault="00585270" w:rsidP="00AC7932">
      <w:pPr>
        <w:pStyle w:val="FootnoteText"/>
        <w:rPr>
          <w:rFonts w:ascii="Times New Roman" w:hAnsi="Times New Roman" w:cs="Times New Roman"/>
          <w:sz w:val="24"/>
          <w:szCs w:val="24"/>
        </w:rPr>
      </w:pPr>
    </w:p>
    <w:p w:rsidR="00585270" w:rsidRPr="00C562D6" w:rsidRDefault="00585270" w:rsidP="00AC7932">
      <w:pPr>
        <w:pStyle w:val="FootnoteText"/>
        <w:rPr>
          <w:rFonts w:ascii="Times New Roman" w:hAnsi="Times New Roman" w:cs="Times New Roman"/>
          <w:sz w:val="24"/>
          <w:szCs w:val="24"/>
        </w:rPr>
      </w:pPr>
      <w:proofErr w:type="gramStart"/>
      <w:r w:rsidRPr="00C562D6">
        <w:rPr>
          <w:rFonts w:ascii="Times New Roman" w:hAnsi="Times New Roman" w:cs="Times New Roman"/>
          <w:sz w:val="24"/>
          <w:szCs w:val="24"/>
          <w:lang w:val="en-GB"/>
        </w:rPr>
        <w:t>Wilson, W. (2014), ‘Stimulating housing supply – Government initiatives (England)’ House of Commons Library, July 2014.</w:t>
      </w:r>
      <w:proofErr w:type="gramEnd"/>
      <w:r w:rsidRPr="00C562D6">
        <w:rPr>
          <w:rFonts w:ascii="Times New Roman" w:hAnsi="Times New Roman" w:cs="Times New Roman"/>
          <w:sz w:val="24"/>
          <w:szCs w:val="24"/>
          <w:lang w:val="en-GB"/>
        </w:rPr>
        <w:t xml:space="preserve"> Available at: </w:t>
      </w:r>
      <w:hyperlink r:id="rId14" w:history="1">
        <w:r w:rsidRPr="00C562D6">
          <w:rPr>
            <w:rStyle w:val="Hyperlink"/>
            <w:rFonts w:ascii="Times New Roman" w:hAnsi="Times New Roman" w:cs="Times New Roman"/>
            <w:bCs/>
            <w:iCs/>
            <w:sz w:val="24"/>
            <w:szCs w:val="24"/>
          </w:rPr>
          <w:t>www</w:t>
        </w:r>
        <w:r w:rsidRPr="00C562D6">
          <w:rPr>
            <w:rStyle w:val="Hyperlink"/>
            <w:rFonts w:ascii="Times New Roman" w:hAnsi="Times New Roman" w:cs="Times New Roman"/>
            <w:iCs/>
            <w:sz w:val="24"/>
            <w:szCs w:val="24"/>
          </w:rPr>
          <w:t>.</w:t>
        </w:r>
        <w:r w:rsidRPr="00C562D6">
          <w:rPr>
            <w:rStyle w:val="Hyperlink"/>
            <w:rFonts w:ascii="Times New Roman" w:hAnsi="Times New Roman" w:cs="Times New Roman"/>
            <w:bCs/>
            <w:iCs/>
            <w:sz w:val="24"/>
            <w:szCs w:val="24"/>
          </w:rPr>
          <w:t>parliament</w:t>
        </w:r>
        <w:r w:rsidRPr="00C562D6">
          <w:rPr>
            <w:rStyle w:val="Hyperlink"/>
            <w:rFonts w:ascii="Times New Roman" w:hAnsi="Times New Roman" w:cs="Times New Roman"/>
            <w:iCs/>
            <w:sz w:val="24"/>
            <w:szCs w:val="24"/>
          </w:rPr>
          <w:t>.uk/briefing-papers/SN06416.pdf</w:t>
        </w:r>
      </w:hyperlink>
      <w:r w:rsidRPr="00C562D6">
        <w:rPr>
          <w:rFonts w:ascii="Times New Roman" w:hAnsi="Times New Roman" w:cs="Times New Roman"/>
          <w:iCs/>
          <w:sz w:val="24"/>
          <w:szCs w:val="24"/>
        </w:rPr>
        <w:t xml:space="preserve"> (Accessed on 4 September 2014).</w:t>
      </w:r>
    </w:p>
    <w:sectPr w:rsidR="00585270" w:rsidRPr="00C562D6" w:rsidSect="007F4B1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6A" w:rsidRDefault="00240F6A" w:rsidP="00006756">
      <w:r>
        <w:separator/>
      </w:r>
    </w:p>
  </w:endnote>
  <w:endnote w:type="continuationSeparator" w:id="0">
    <w:p w:rsidR="00240F6A" w:rsidRDefault="00240F6A" w:rsidP="0000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766572"/>
      <w:docPartObj>
        <w:docPartGallery w:val="Page Numbers (Bottom of Page)"/>
        <w:docPartUnique/>
      </w:docPartObj>
    </w:sdtPr>
    <w:sdtEndPr/>
    <w:sdtContent>
      <w:p w:rsidR="00240F6A" w:rsidRDefault="00341A3C">
        <w:pPr>
          <w:pStyle w:val="Footer"/>
          <w:jc w:val="right"/>
        </w:pPr>
        <w:r>
          <w:fldChar w:fldCharType="begin"/>
        </w:r>
        <w:r>
          <w:instrText xml:space="preserve"> PAGE   \* MERGEFORMAT </w:instrText>
        </w:r>
        <w:r>
          <w:fldChar w:fldCharType="separate"/>
        </w:r>
        <w:r w:rsidR="00C562D6">
          <w:rPr>
            <w:noProof/>
          </w:rPr>
          <w:t>31</w:t>
        </w:r>
        <w:r>
          <w:rPr>
            <w:noProof/>
          </w:rPr>
          <w:fldChar w:fldCharType="end"/>
        </w:r>
      </w:p>
    </w:sdtContent>
  </w:sdt>
  <w:p w:rsidR="00240F6A" w:rsidRDefault="00240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6A" w:rsidRDefault="00240F6A" w:rsidP="00006756">
      <w:r>
        <w:separator/>
      </w:r>
    </w:p>
  </w:footnote>
  <w:footnote w:type="continuationSeparator" w:id="0">
    <w:p w:rsidR="00240F6A" w:rsidRDefault="00240F6A" w:rsidP="00006756">
      <w:r>
        <w:continuationSeparator/>
      </w:r>
    </w:p>
  </w:footnote>
  <w:footnote w:id="1">
    <w:p w:rsidR="00240F6A" w:rsidRPr="00C562D6" w:rsidRDefault="00240F6A">
      <w:pPr>
        <w:pStyle w:val="FootnoteText"/>
        <w:rPr>
          <w:rFonts w:ascii="Times New Roman" w:hAnsi="Times New Roman" w:cs="Times New Roman"/>
          <w:lang w:val="en-GB"/>
        </w:rPr>
      </w:pPr>
      <w:r>
        <w:rPr>
          <w:rStyle w:val="FootnoteReference"/>
        </w:rPr>
        <w:footnoteRef/>
      </w:r>
      <w:r>
        <w:t xml:space="preserve"> </w:t>
      </w:r>
      <w:r w:rsidRPr="00C562D6">
        <w:rPr>
          <w:rFonts w:ascii="Times New Roman" w:hAnsi="Times New Roman" w:cs="Times New Roman"/>
          <w:lang w:val="en-GB"/>
        </w:rPr>
        <w:t xml:space="preserve">The debates around financialization that have been present in many left-leaning economics journals over the past twenty years, often have theoretical roots in the Marxist-influenced analysis of Rudolf </w:t>
      </w:r>
      <w:proofErr w:type="spellStart"/>
      <w:r w:rsidRPr="00C562D6">
        <w:rPr>
          <w:rFonts w:ascii="Times New Roman" w:hAnsi="Times New Roman" w:cs="Times New Roman"/>
          <w:lang w:val="en-GB"/>
        </w:rPr>
        <w:t>Hilferding</w:t>
      </w:r>
      <w:proofErr w:type="spellEnd"/>
      <w:r w:rsidRPr="00C562D6">
        <w:rPr>
          <w:rFonts w:ascii="Times New Roman" w:hAnsi="Times New Roman" w:cs="Times New Roman"/>
          <w:lang w:val="en-GB"/>
        </w:rPr>
        <w:t xml:space="preserve"> first published in 1910 (</w:t>
      </w:r>
      <w:proofErr w:type="spellStart"/>
      <w:r w:rsidRPr="00C562D6">
        <w:rPr>
          <w:rFonts w:ascii="Times New Roman" w:hAnsi="Times New Roman" w:cs="Times New Roman"/>
          <w:lang w:val="en-GB"/>
        </w:rPr>
        <w:t>Hilferding</w:t>
      </w:r>
      <w:proofErr w:type="spellEnd"/>
      <w:r w:rsidRPr="00C562D6">
        <w:rPr>
          <w:rFonts w:ascii="Times New Roman" w:hAnsi="Times New Roman" w:cs="Times New Roman"/>
          <w:lang w:val="en-GB"/>
        </w:rPr>
        <w:t xml:space="preserve">, 1985). </w:t>
      </w:r>
    </w:p>
  </w:footnote>
  <w:footnote w:id="2">
    <w:p w:rsidR="00240F6A" w:rsidRPr="00C562D6" w:rsidRDefault="00240F6A" w:rsidP="001578F2">
      <w:pPr>
        <w:pStyle w:val="Footer"/>
        <w:rPr>
          <w:rFonts w:ascii="Times New Roman" w:hAnsi="Times New Roman" w:cs="Times New Roman"/>
          <w:sz w:val="20"/>
        </w:rPr>
      </w:pPr>
      <w:r w:rsidRPr="00C562D6">
        <w:rPr>
          <w:rFonts w:ascii="Times New Roman" w:eastAsia="Calibri" w:hAnsi="Times New Roman" w:cs="Times New Roman"/>
          <w:sz w:val="20"/>
          <w:vertAlign w:val="superscript"/>
        </w:rPr>
        <w:footnoteRef/>
      </w:r>
      <w:r w:rsidRPr="00C562D6">
        <w:rPr>
          <w:rFonts w:ascii="Times New Roman" w:hAnsi="Times New Roman" w:cs="Times New Roman"/>
          <w:sz w:val="20"/>
        </w:rPr>
        <w:t xml:space="preserve"> </w:t>
      </w:r>
      <w:proofErr w:type="spellStart"/>
      <w:r w:rsidRPr="00C562D6">
        <w:rPr>
          <w:rFonts w:ascii="Times New Roman" w:hAnsi="Times New Roman" w:cs="Times New Roman"/>
          <w:sz w:val="20"/>
        </w:rPr>
        <w:t>Overaccumulation</w:t>
      </w:r>
      <w:proofErr w:type="spellEnd"/>
      <w:r w:rsidRPr="00C562D6">
        <w:rPr>
          <w:rFonts w:ascii="Times New Roman" w:hAnsi="Times New Roman" w:cs="Times New Roman"/>
          <w:sz w:val="20"/>
        </w:rPr>
        <w:t xml:space="preserve"> ‘... is a condition where surpluses of capital (perhaps accompanied by surpluses of labour) lie idle with no profitable outlets in sight’ (Harvey, 2003: 149).</w:t>
      </w:r>
    </w:p>
  </w:footnote>
  <w:footnote w:id="3">
    <w:p w:rsidR="00240F6A" w:rsidRPr="00C562D6" w:rsidRDefault="00240F6A" w:rsidP="001578F2">
      <w:pPr>
        <w:pStyle w:val="Footer"/>
        <w:rPr>
          <w:rFonts w:ascii="Times New Roman" w:hAnsi="Times New Roman" w:cs="Times New Roman"/>
          <w:sz w:val="20"/>
        </w:rPr>
      </w:pPr>
      <w:r w:rsidRPr="00C562D6">
        <w:rPr>
          <w:rFonts w:ascii="Times New Roman" w:eastAsia="Calibri" w:hAnsi="Times New Roman" w:cs="Times New Roman"/>
          <w:sz w:val="20"/>
          <w:vertAlign w:val="superscript"/>
        </w:rPr>
        <w:footnoteRef/>
      </w:r>
      <w:r w:rsidRPr="00C562D6">
        <w:rPr>
          <w:rFonts w:ascii="Times New Roman" w:hAnsi="Times New Roman" w:cs="Times New Roman"/>
          <w:sz w:val="20"/>
        </w:rPr>
        <w:t xml:space="preserve"> Given the secretive nature of capitalists when it comes to profitability (hence the use of commercial confidentiality) differing methods of calculating profit rates have been employed by a range of economists, leading to results that are not fully compatible. However, Harman (2009: 195) is able to conclude that the ‘various efforts at measuring it [the rate of profit] have come to a single conclusion: it fell sharply between the late 1960s and the early 1980s’.</w:t>
      </w:r>
    </w:p>
  </w:footnote>
  <w:footnote w:id="4">
    <w:p w:rsidR="00240F6A" w:rsidRPr="00C562D6" w:rsidRDefault="00240F6A" w:rsidP="001578F2">
      <w:pPr>
        <w:pStyle w:val="Footer"/>
        <w:rPr>
          <w:rFonts w:ascii="Times New Roman" w:hAnsi="Times New Roman" w:cs="Times New Roman"/>
          <w:sz w:val="20"/>
        </w:rPr>
      </w:pPr>
      <w:r w:rsidRPr="00C562D6">
        <w:rPr>
          <w:rFonts w:ascii="Times New Roman" w:eastAsia="Calibri" w:hAnsi="Times New Roman" w:cs="Times New Roman"/>
          <w:sz w:val="20"/>
          <w:vertAlign w:val="superscript"/>
        </w:rPr>
        <w:footnoteRef/>
      </w:r>
      <w:r w:rsidRPr="00C562D6">
        <w:rPr>
          <w:rFonts w:ascii="Times New Roman" w:hAnsi="Times New Roman" w:cs="Times New Roman"/>
          <w:sz w:val="20"/>
        </w:rPr>
        <w:t xml:space="preserve"> Immediately after the privatisation half of the work force was sacked and forced to sell the shares they had in the new private company for a price of £2.50 per share. Within a year the new directors cashed in those shares selling them at £37 per share when the company was taken-over.</w:t>
      </w:r>
    </w:p>
  </w:footnote>
  <w:footnote w:id="5">
    <w:p w:rsidR="00240F6A" w:rsidRPr="00C562D6" w:rsidRDefault="00240F6A" w:rsidP="00B54365">
      <w:pPr>
        <w:pStyle w:val="Footer"/>
        <w:rPr>
          <w:rFonts w:ascii="Times New Roman" w:hAnsi="Times New Roman" w:cs="Times New Roman"/>
          <w:sz w:val="20"/>
        </w:rPr>
      </w:pPr>
      <w:r w:rsidRPr="00C562D6">
        <w:rPr>
          <w:rFonts w:ascii="Times New Roman" w:hAnsi="Times New Roman" w:cs="Times New Roman"/>
          <w:sz w:val="20"/>
          <w:vertAlign w:val="superscript"/>
        </w:rPr>
        <w:footnoteRef/>
      </w:r>
      <w:r w:rsidRPr="00C562D6">
        <w:rPr>
          <w:rFonts w:ascii="Times New Roman" w:hAnsi="Times New Roman" w:cs="Times New Roman"/>
          <w:sz w:val="20"/>
        </w:rPr>
        <w:t xml:space="preserve"> Using 2012/13 a base prices. Wilcox and Perry (2014: Table 57b</w:t>
      </w:r>
      <w:r w:rsidRPr="00C562D6">
        <w:rPr>
          <w:rFonts w:ascii="Times New Roman" w:hAnsi="Times New Roman" w:cs="Times New Roman"/>
          <w:i/>
          <w:sz w:val="20"/>
        </w:rPr>
        <w:t>), UK Housing Review 2014</w:t>
      </w:r>
      <w:r w:rsidRPr="00C562D6">
        <w:rPr>
          <w:rFonts w:ascii="Times New Roman" w:hAnsi="Times New Roman" w:cs="Times New Roman"/>
          <w:sz w:val="20"/>
        </w:rPr>
        <w:t xml:space="preserve">. Available at: </w:t>
      </w:r>
      <w:hyperlink r:id="rId1" w:history="1">
        <w:r w:rsidRPr="00C562D6">
          <w:rPr>
            <w:rStyle w:val="Hyperlink"/>
            <w:rFonts w:ascii="Times New Roman" w:hAnsi="Times New Roman" w:cs="Times New Roman"/>
            <w:sz w:val="20"/>
          </w:rPr>
          <w:t>http://www.york.ac.uk/res/ukhr/ukhr14/compendium.htm</w:t>
        </w:r>
      </w:hyperlink>
      <w:r w:rsidRPr="00C562D6">
        <w:rPr>
          <w:rFonts w:ascii="Times New Roman" w:hAnsi="Times New Roman" w:cs="Times New Roman"/>
          <w:sz w:val="20"/>
        </w:rPr>
        <w:t xml:space="preserve"> (accessed on 4 September 2014).</w:t>
      </w:r>
    </w:p>
  </w:footnote>
  <w:footnote w:id="6">
    <w:p w:rsidR="00240F6A" w:rsidRPr="00C562D6" w:rsidRDefault="00240F6A">
      <w:pPr>
        <w:pStyle w:val="FootnoteText"/>
        <w:rPr>
          <w:rFonts w:ascii="Times New Roman" w:hAnsi="Times New Roman" w:cs="Times New Roman"/>
          <w:lang w:val="en-GB"/>
        </w:rPr>
      </w:pPr>
      <w:r w:rsidRPr="00C562D6">
        <w:rPr>
          <w:rStyle w:val="FootnoteReference"/>
          <w:rFonts w:ascii="Times New Roman" w:hAnsi="Times New Roman" w:cs="Times New Roman"/>
        </w:rPr>
        <w:footnoteRef/>
      </w:r>
      <w:r w:rsidRPr="00C562D6">
        <w:rPr>
          <w:rFonts w:ascii="Times New Roman" w:hAnsi="Times New Roman" w:cs="Times New Roman"/>
        </w:rPr>
        <w:t xml:space="preserve"> </w:t>
      </w:r>
      <w:proofErr w:type="gramStart"/>
      <w:r w:rsidRPr="00C562D6">
        <w:rPr>
          <w:rFonts w:ascii="Times New Roman" w:hAnsi="Times New Roman" w:cs="Times New Roman"/>
          <w:lang w:val="en-GB"/>
        </w:rPr>
        <w:t>For opposing views on this issue see Britton (2014) and Wilcox and Perry (2014: 47).</w:t>
      </w:r>
      <w:proofErr w:type="gramEnd"/>
    </w:p>
  </w:footnote>
  <w:footnote w:id="7">
    <w:p w:rsidR="00240F6A" w:rsidRPr="00C562D6" w:rsidRDefault="00240F6A" w:rsidP="00763257">
      <w:pPr>
        <w:pStyle w:val="Footer"/>
        <w:rPr>
          <w:rFonts w:ascii="Times New Roman" w:hAnsi="Times New Roman" w:cs="Times New Roman"/>
          <w:sz w:val="20"/>
        </w:rPr>
      </w:pPr>
      <w:r w:rsidRPr="00C562D6">
        <w:rPr>
          <w:rFonts w:ascii="Times New Roman" w:hAnsi="Times New Roman" w:cs="Times New Roman"/>
          <w:sz w:val="20"/>
          <w:vertAlign w:val="superscript"/>
        </w:rPr>
        <w:footnoteRef/>
      </w:r>
      <w:r w:rsidRPr="00C562D6">
        <w:rPr>
          <w:rFonts w:ascii="Times New Roman" w:hAnsi="Times New Roman" w:cs="Times New Roman"/>
          <w:sz w:val="20"/>
        </w:rPr>
        <w:t xml:space="preserve"> ‘Identifiable government expenditure is net of housing capital receipts, which are treated as ‘negative expenditure’ rather than income’ (Pawson and Wilcox, 2011: Table 56 note).</w:t>
      </w:r>
    </w:p>
  </w:footnote>
  <w:footnote w:id="8">
    <w:p w:rsidR="00240F6A" w:rsidRPr="00C562D6" w:rsidRDefault="00240F6A" w:rsidP="00763257">
      <w:pPr>
        <w:pStyle w:val="Footer"/>
        <w:rPr>
          <w:rFonts w:ascii="Times New Roman" w:hAnsi="Times New Roman" w:cs="Times New Roman"/>
          <w:sz w:val="20"/>
        </w:rPr>
      </w:pPr>
      <w:r w:rsidRPr="00C562D6">
        <w:rPr>
          <w:rFonts w:ascii="Times New Roman" w:hAnsi="Times New Roman" w:cs="Times New Roman"/>
          <w:sz w:val="20"/>
          <w:vertAlign w:val="superscript"/>
        </w:rPr>
        <w:footnoteRef/>
      </w:r>
      <w:r w:rsidRPr="00C562D6">
        <w:rPr>
          <w:rFonts w:ascii="Times New Roman" w:hAnsi="Times New Roman" w:cs="Times New Roman"/>
          <w:sz w:val="20"/>
        </w:rPr>
        <w:t xml:space="preserve"> In constant prices with 2009/10 as the base; </w:t>
      </w:r>
      <w:r w:rsidRPr="00C562D6">
        <w:rPr>
          <w:rFonts w:ascii="Times New Roman" w:hAnsi="Times New Roman" w:cs="Times New Roman"/>
          <w:bCs/>
          <w:color w:val="000000"/>
          <w:sz w:val="20"/>
        </w:rPr>
        <w:t>(Pawson and Wilcox, 2011: 57b).</w:t>
      </w:r>
    </w:p>
  </w:footnote>
  <w:footnote w:id="9">
    <w:p w:rsidR="00240F6A" w:rsidRPr="00C562D6" w:rsidRDefault="00240F6A">
      <w:pPr>
        <w:pStyle w:val="FootnoteText"/>
        <w:rPr>
          <w:rFonts w:ascii="Times New Roman" w:hAnsi="Times New Roman" w:cs="Times New Roman"/>
        </w:rPr>
      </w:pPr>
      <w:r w:rsidRPr="00C562D6">
        <w:rPr>
          <w:rStyle w:val="FootnoteReference"/>
          <w:rFonts w:ascii="Times New Roman" w:hAnsi="Times New Roman" w:cs="Times New Roman"/>
        </w:rPr>
        <w:footnoteRef/>
      </w:r>
      <w:r w:rsidRPr="00C562D6">
        <w:rPr>
          <w:rFonts w:ascii="Times New Roman" w:hAnsi="Times New Roman" w:cs="Times New Roman"/>
        </w:rPr>
        <w:t xml:space="preserve"> See section 7 of the Housing Corporation (2007a), </w:t>
      </w:r>
      <w:r w:rsidRPr="00C562D6">
        <w:rPr>
          <w:rFonts w:ascii="Times New Roman" w:hAnsi="Times New Roman" w:cs="Times New Roman"/>
          <w:i/>
        </w:rPr>
        <w:t>National Affordable Housing Programme 2008-11Prospectus</w:t>
      </w:r>
      <w:r w:rsidRPr="00C562D6">
        <w:rPr>
          <w:rFonts w:ascii="Times New Roman" w:hAnsi="Times New Roman" w:cs="Times New Roman"/>
        </w:rPr>
        <w:t xml:space="preserve">, September 2007, Housing Corporation, </w:t>
      </w:r>
      <w:proofErr w:type="gramStart"/>
      <w:r w:rsidRPr="00C562D6">
        <w:rPr>
          <w:rFonts w:ascii="Times New Roman" w:hAnsi="Times New Roman" w:cs="Times New Roman"/>
        </w:rPr>
        <w:t>London</w:t>
      </w:r>
      <w:proofErr w:type="gramEnd"/>
      <w:r w:rsidRPr="00C562D6">
        <w:rPr>
          <w:rFonts w:ascii="Times New Roman" w:hAnsi="Times New Roman" w:cs="Times New Roman"/>
        </w:rPr>
        <w:t>.</w:t>
      </w:r>
    </w:p>
  </w:footnote>
  <w:footnote w:id="10">
    <w:p w:rsidR="00240F6A" w:rsidRPr="00C562D6" w:rsidRDefault="00240F6A">
      <w:pPr>
        <w:pStyle w:val="FootnoteText"/>
        <w:rPr>
          <w:rFonts w:ascii="Times New Roman" w:hAnsi="Times New Roman" w:cs="Times New Roman"/>
        </w:rPr>
      </w:pPr>
      <w:r w:rsidRPr="00C562D6">
        <w:rPr>
          <w:rStyle w:val="FootnoteReference"/>
          <w:rFonts w:ascii="Times New Roman" w:hAnsi="Times New Roman" w:cs="Times New Roman"/>
        </w:rPr>
        <w:footnoteRef/>
      </w:r>
      <w:r w:rsidRPr="00C562D6">
        <w:rPr>
          <w:rFonts w:ascii="Times New Roman" w:hAnsi="Times New Roman" w:cs="Times New Roman"/>
        </w:rPr>
        <w:t xml:space="preserve"> </w:t>
      </w:r>
      <w:proofErr w:type="gramStart"/>
      <w:r w:rsidRPr="00C562D6">
        <w:rPr>
          <w:rFonts w:ascii="Times New Roman" w:hAnsi="Times New Roman" w:cs="Times New Roman"/>
        </w:rPr>
        <w:t>Homes and Communities Agency (HCA) (2011: 19), 2011-15 Affordable Homes Programme – Framework, Homes and Communities Agency, London.</w:t>
      </w:r>
      <w:proofErr w:type="gramEnd"/>
      <w:r w:rsidRPr="00C562D6">
        <w:rPr>
          <w:rFonts w:ascii="Times New Roman" w:hAnsi="Times New Roman" w:cs="Times New Roman"/>
        </w:rPr>
        <w:t xml:space="preserve"> There has been considerable discussion on what affordable means in practice and how it is to be measured. For a flavour of the issues concerned see the BBC Radio 4, </w:t>
      </w:r>
      <w:r w:rsidRPr="00C562D6">
        <w:rPr>
          <w:rFonts w:ascii="Times New Roman" w:hAnsi="Times New Roman" w:cs="Times New Roman"/>
          <w:i/>
        </w:rPr>
        <w:t>Face the Facts</w:t>
      </w:r>
      <w:r w:rsidRPr="00C562D6">
        <w:rPr>
          <w:rFonts w:ascii="Times New Roman" w:hAnsi="Times New Roman" w:cs="Times New Roman"/>
        </w:rPr>
        <w:t xml:space="preserve"> programme ‘The affordable housing that’s unaffordable’, 8</w:t>
      </w:r>
      <w:r w:rsidRPr="00C562D6">
        <w:rPr>
          <w:rFonts w:ascii="Times New Roman" w:hAnsi="Times New Roman" w:cs="Times New Roman"/>
          <w:vertAlign w:val="superscript"/>
        </w:rPr>
        <w:t>th</w:t>
      </w:r>
      <w:r w:rsidRPr="00C562D6">
        <w:rPr>
          <w:rFonts w:ascii="Times New Roman" w:hAnsi="Times New Roman" w:cs="Times New Roman"/>
        </w:rPr>
        <w:t xml:space="preserve"> January 2014. Available at: </w:t>
      </w:r>
      <w:hyperlink r:id="rId2" w:history="1">
        <w:r w:rsidRPr="00C562D6">
          <w:rPr>
            <w:rStyle w:val="Hyperlink"/>
            <w:rFonts w:ascii="Times New Roman" w:hAnsi="Times New Roman" w:cs="Times New Roman"/>
          </w:rPr>
          <w:t>http://www.bbc.co.uk/programmes/b03nt9vr</w:t>
        </w:r>
      </w:hyperlink>
      <w:r w:rsidRPr="00C562D6">
        <w:rPr>
          <w:rFonts w:ascii="Times New Roman" w:hAnsi="Times New Roman" w:cs="Times New Roman"/>
        </w:rPr>
        <w:t xml:space="preserve">. </w:t>
      </w:r>
    </w:p>
  </w:footnote>
  <w:footnote w:id="11">
    <w:p w:rsidR="00240F6A" w:rsidRPr="00C562D6" w:rsidRDefault="00240F6A">
      <w:pPr>
        <w:pStyle w:val="FootnoteText"/>
        <w:rPr>
          <w:rFonts w:ascii="Times New Roman" w:hAnsi="Times New Roman" w:cs="Times New Roman"/>
        </w:rPr>
      </w:pPr>
      <w:r w:rsidRPr="00C562D6">
        <w:rPr>
          <w:rStyle w:val="FootnoteReference"/>
          <w:rFonts w:ascii="Times New Roman" w:hAnsi="Times New Roman" w:cs="Times New Roman"/>
        </w:rPr>
        <w:footnoteRef/>
      </w:r>
      <w:r w:rsidRPr="00C562D6">
        <w:rPr>
          <w:rFonts w:ascii="Times New Roman" w:hAnsi="Times New Roman" w:cs="Times New Roman"/>
        </w:rPr>
        <w:t xml:space="preserve"> </w:t>
      </w:r>
      <w:proofErr w:type="gramStart"/>
      <w:r w:rsidRPr="00C562D6">
        <w:rPr>
          <w:rFonts w:ascii="Times New Roman" w:hAnsi="Times New Roman" w:cs="Times New Roman"/>
        </w:rPr>
        <w:t>Although the gap between council, social and affordable rents varies enormously across the country with the differences very pronounced in London and the Southeast and negligible in much of the Midlands and the North.</w:t>
      </w:r>
      <w:proofErr w:type="gramEnd"/>
      <w:r w:rsidRPr="00C562D6">
        <w:rPr>
          <w:rFonts w:ascii="Times New Roman" w:hAnsi="Times New Roman" w:cs="Times New Roman"/>
        </w:rPr>
        <w:t xml:space="preserve"> </w:t>
      </w:r>
    </w:p>
  </w:footnote>
  <w:footnote w:id="12">
    <w:p w:rsidR="00240F6A" w:rsidRDefault="00240F6A">
      <w:pPr>
        <w:pStyle w:val="FootnoteText"/>
      </w:pPr>
      <w:r>
        <w:rPr>
          <w:rStyle w:val="FootnoteReference"/>
        </w:rPr>
        <w:footnoteRef/>
      </w:r>
      <w:r>
        <w:t xml:space="preserve"> The Coalition government would disagree with this analysis stating that given the level of funding available, £1.8 billion, the NAO report also commends the HCA and DCLG for design a programme that provides the most number of affordable homes (expected to be over 80,000).</w:t>
      </w:r>
    </w:p>
  </w:footnote>
  <w:footnote w:id="13">
    <w:p w:rsidR="00240F6A" w:rsidRPr="00F8100F" w:rsidRDefault="00240F6A">
      <w:pPr>
        <w:pStyle w:val="FootnoteText"/>
        <w:rPr>
          <w:lang w:val="en-GB"/>
        </w:rPr>
      </w:pPr>
      <w:r>
        <w:rPr>
          <w:rStyle w:val="FootnoteReference"/>
        </w:rPr>
        <w:footnoteRef/>
      </w:r>
      <w:r>
        <w:t xml:space="preserve"> </w:t>
      </w:r>
      <w:r>
        <w:rPr>
          <w:lang w:val="en-GB"/>
        </w:rPr>
        <w:t xml:space="preserve">For further information on planning gains see ARCH (2014). </w:t>
      </w:r>
    </w:p>
  </w:footnote>
  <w:footnote w:id="14">
    <w:p w:rsidR="00B37824" w:rsidRDefault="00B37824" w:rsidP="00B37824">
      <w:pPr>
        <w:pStyle w:val="EndnoteText"/>
      </w:pPr>
      <w:r>
        <w:rPr>
          <w:rStyle w:val="FootnoteReference"/>
        </w:rPr>
        <w:footnoteRef/>
      </w:r>
      <w:r>
        <w:t xml:space="preserve"> </w:t>
      </w:r>
      <w:r w:rsidRPr="00682BB0">
        <w:rPr>
          <w:rFonts w:cs="Arial"/>
        </w:rPr>
        <w:t>For a fuller discussion on the current debate over</w:t>
      </w:r>
      <w:r>
        <w:t xml:space="preserve"> PSND and GGGD see section 6 of </w:t>
      </w:r>
      <w:proofErr w:type="gramStart"/>
      <w:r>
        <w:rPr>
          <w:i/>
        </w:rPr>
        <w:t>Let’s</w:t>
      </w:r>
      <w:proofErr w:type="gramEnd"/>
      <w:r>
        <w:rPr>
          <w:i/>
        </w:rPr>
        <w:t xml:space="preserve"> get building</w:t>
      </w:r>
      <w:r>
        <w:t xml:space="preserve"> report (NHA,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6A" w:rsidRPr="00060A0D" w:rsidRDefault="00240F6A" w:rsidP="00060A0D">
    <w:pPr>
      <w:spacing w:line="360" w:lineRule="auto"/>
      <w:jc w:val="center"/>
      <w:rPr>
        <w:i/>
      </w:rPr>
    </w:pPr>
    <w:r w:rsidRPr="00060A0D">
      <w:t xml:space="preserve">Embedding financialization: the </w:t>
    </w:r>
    <w:r w:rsidRPr="00060A0D">
      <w:rPr>
        <w:i/>
      </w:rPr>
      <w:t>Affordable Homes Programme</w:t>
    </w:r>
  </w:p>
  <w:p w:rsidR="00240F6A" w:rsidRDefault="00240F6A">
    <w:pPr>
      <w:pStyle w:val="Header"/>
      <w:jc w:val="right"/>
    </w:pPr>
  </w:p>
  <w:p w:rsidR="00240F6A" w:rsidRDefault="00240F6A" w:rsidP="0000675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4DB"/>
    <w:multiLevelType w:val="hybridMultilevel"/>
    <w:tmpl w:val="5E9053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AF7DA9"/>
    <w:multiLevelType w:val="hybridMultilevel"/>
    <w:tmpl w:val="3C501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C330208"/>
    <w:multiLevelType w:val="hybridMultilevel"/>
    <w:tmpl w:val="27707B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2EB50F79"/>
    <w:multiLevelType w:val="hybridMultilevel"/>
    <w:tmpl w:val="3FE24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F814AF"/>
    <w:multiLevelType w:val="hybridMultilevel"/>
    <w:tmpl w:val="54549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326F5A"/>
    <w:multiLevelType w:val="hybridMultilevel"/>
    <w:tmpl w:val="B914B00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9E102AF"/>
    <w:multiLevelType w:val="hybridMultilevel"/>
    <w:tmpl w:val="667CFA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E79640B"/>
    <w:multiLevelType w:val="hybridMultilevel"/>
    <w:tmpl w:val="B1F6B7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56"/>
    <w:rsid w:val="00000C0C"/>
    <w:rsid w:val="00002867"/>
    <w:rsid w:val="00006756"/>
    <w:rsid w:val="00020F12"/>
    <w:rsid w:val="0004367A"/>
    <w:rsid w:val="00044174"/>
    <w:rsid w:val="00045214"/>
    <w:rsid w:val="00050198"/>
    <w:rsid w:val="00057847"/>
    <w:rsid w:val="00060A0D"/>
    <w:rsid w:val="000615D5"/>
    <w:rsid w:val="00065203"/>
    <w:rsid w:val="00091246"/>
    <w:rsid w:val="000919D3"/>
    <w:rsid w:val="000C2C06"/>
    <w:rsid w:val="000C317A"/>
    <w:rsid w:val="000D29BA"/>
    <w:rsid w:val="000E3CB6"/>
    <w:rsid w:val="000E7163"/>
    <w:rsid w:val="000E7477"/>
    <w:rsid w:val="000F1077"/>
    <w:rsid w:val="000F1210"/>
    <w:rsid w:val="000F3B96"/>
    <w:rsid w:val="00101A9E"/>
    <w:rsid w:val="0010333C"/>
    <w:rsid w:val="00103C22"/>
    <w:rsid w:val="00110A15"/>
    <w:rsid w:val="00123A36"/>
    <w:rsid w:val="001271B2"/>
    <w:rsid w:val="00130C25"/>
    <w:rsid w:val="00137C7B"/>
    <w:rsid w:val="00142643"/>
    <w:rsid w:val="001457C5"/>
    <w:rsid w:val="00152A99"/>
    <w:rsid w:val="001578F2"/>
    <w:rsid w:val="00166923"/>
    <w:rsid w:val="001775B6"/>
    <w:rsid w:val="00183A0F"/>
    <w:rsid w:val="00184770"/>
    <w:rsid w:val="001872F5"/>
    <w:rsid w:val="001B2960"/>
    <w:rsid w:val="001D3F72"/>
    <w:rsid w:val="002018F9"/>
    <w:rsid w:val="00206024"/>
    <w:rsid w:val="00214430"/>
    <w:rsid w:val="0022682F"/>
    <w:rsid w:val="00227587"/>
    <w:rsid w:val="00240F6A"/>
    <w:rsid w:val="002422A0"/>
    <w:rsid w:val="0024445E"/>
    <w:rsid w:val="0025319B"/>
    <w:rsid w:val="00255879"/>
    <w:rsid w:val="00266A4D"/>
    <w:rsid w:val="00270D1E"/>
    <w:rsid w:val="00274230"/>
    <w:rsid w:val="00284E6D"/>
    <w:rsid w:val="002B72F5"/>
    <w:rsid w:val="002C43B0"/>
    <w:rsid w:val="002D0A4D"/>
    <w:rsid w:val="002E399F"/>
    <w:rsid w:val="002E6E11"/>
    <w:rsid w:val="003010AD"/>
    <w:rsid w:val="003043F0"/>
    <w:rsid w:val="00304D23"/>
    <w:rsid w:val="00306AC3"/>
    <w:rsid w:val="00306B51"/>
    <w:rsid w:val="00310DB2"/>
    <w:rsid w:val="00313DFC"/>
    <w:rsid w:val="00321C86"/>
    <w:rsid w:val="00321E49"/>
    <w:rsid w:val="00331E7A"/>
    <w:rsid w:val="0033764D"/>
    <w:rsid w:val="00340443"/>
    <w:rsid w:val="00340508"/>
    <w:rsid w:val="00340B85"/>
    <w:rsid w:val="00341A3C"/>
    <w:rsid w:val="00351F5B"/>
    <w:rsid w:val="00372B2C"/>
    <w:rsid w:val="003912EB"/>
    <w:rsid w:val="00397CFF"/>
    <w:rsid w:val="003C1C6E"/>
    <w:rsid w:val="003C3215"/>
    <w:rsid w:val="003E2750"/>
    <w:rsid w:val="003E28B6"/>
    <w:rsid w:val="003E57C4"/>
    <w:rsid w:val="003F0157"/>
    <w:rsid w:val="00404664"/>
    <w:rsid w:val="004057E6"/>
    <w:rsid w:val="0040624D"/>
    <w:rsid w:val="00411421"/>
    <w:rsid w:val="0042226B"/>
    <w:rsid w:val="00442675"/>
    <w:rsid w:val="0044298E"/>
    <w:rsid w:val="00457835"/>
    <w:rsid w:val="00472E58"/>
    <w:rsid w:val="004875CA"/>
    <w:rsid w:val="00487FD9"/>
    <w:rsid w:val="00492ADA"/>
    <w:rsid w:val="00496AFE"/>
    <w:rsid w:val="004A0D28"/>
    <w:rsid w:val="004A0D2B"/>
    <w:rsid w:val="004B048E"/>
    <w:rsid w:val="004B08D4"/>
    <w:rsid w:val="004C371E"/>
    <w:rsid w:val="004F1BD9"/>
    <w:rsid w:val="00505474"/>
    <w:rsid w:val="005141B8"/>
    <w:rsid w:val="005144AD"/>
    <w:rsid w:val="00516520"/>
    <w:rsid w:val="005237B7"/>
    <w:rsid w:val="0053255D"/>
    <w:rsid w:val="0054639B"/>
    <w:rsid w:val="00556C50"/>
    <w:rsid w:val="005576C5"/>
    <w:rsid w:val="005615C7"/>
    <w:rsid w:val="00562F14"/>
    <w:rsid w:val="00570884"/>
    <w:rsid w:val="00585270"/>
    <w:rsid w:val="00597C10"/>
    <w:rsid w:val="005C241D"/>
    <w:rsid w:val="005C6B53"/>
    <w:rsid w:val="005D1673"/>
    <w:rsid w:val="005F7CC5"/>
    <w:rsid w:val="00603BD5"/>
    <w:rsid w:val="00603F43"/>
    <w:rsid w:val="00621CC9"/>
    <w:rsid w:val="006226FD"/>
    <w:rsid w:val="006510D3"/>
    <w:rsid w:val="00651B1D"/>
    <w:rsid w:val="00654E1F"/>
    <w:rsid w:val="00662EA5"/>
    <w:rsid w:val="00663306"/>
    <w:rsid w:val="0066539D"/>
    <w:rsid w:val="00691C6C"/>
    <w:rsid w:val="006957B6"/>
    <w:rsid w:val="006961F3"/>
    <w:rsid w:val="006A0643"/>
    <w:rsid w:val="006A09D1"/>
    <w:rsid w:val="006A1884"/>
    <w:rsid w:val="006A4FAC"/>
    <w:rsid w:val="006A7F49"/>
    <w:rsid w:val="006B2066"/>
    <w:rsid w:val="006D51AC"/>
    <w:rsid w:val="006E175A"/>
    <w:rsid w:val="006E1A5D"/>
    <w:rsid w:val="006F3242"/>
    <w:rsid w:val="006F35C4"/>
    <w:rsid w:val="006F566B"/>
    <w:rsid w:val="00703815"/>
    <w:rsid w:val="00705C05"/>
    <w:rsid w:val="007071EA"/>
    <w:rsid w:val="00707676"/>
    <w:rsid w:val="00714558"/>
    <w:rsid w:val="007239DA"/>
    <w:rsid w:val="0075431B"/>
    <w:rsid w:val="00760560"/>
    <w:rsid w:val="00763257"/>
    <w:rsid w:val="00780E5D"/>
    <w:rsid w:val="007B18EC"/>
    <w:rsid w:val="007B3BF0"/>
    <w:rsid w:val="007D083C"/>
    <w:rsid w:val="007D6FDE"/>
    <w:rsid w:val="007D71FC"/>
    <w:rsid w:val="007E041C"/>
    <w:rsid w:val="007F4B15"/>
    <w:rsid w:val="007F4F76"/>
    <w:rsid w:val="00820BB1"/>
    <w:rsid w:val="008544E3"/>
    <w:rsid w:val="0085527A"/>
    <w:rsid w:val="00880B09"/>
    <w:rsid w:val="0088181A"/>
    <w:rsid w:val="008855D7"/>
    <w:rsid w:val="00892A00"/>
    <w:rsid w:val="00892DD2"/>
    <w:rsid w:val="008A07BE"/>
    <w:rsid w:val="008A7FCB"/>
    <w:rsid w:val="008B262A"/>
    <w:rsid w:val="008C2467"/>
    <w:rsid w:val="008C31B6"/>
    <w:rsid w:val="008C3892"/>
    <w:rsid w:val="008C5713"/>
    <w:rsid w:val="00906FDA"/>
    <w:rsid w:val="00921469"/>
    <w:rsid w:val="0092235F"/>
    <w:rsid w:val="00944E9A"/>
    <w:rsid w:val="00955F4E"/>
    <w:rsid w:val="00957054"/>
    <w:rsid w:val="00985373"/>
    <w:rsid w:val="00990E12"/>
    <w:rsid w:val="0099220C"/>
    <w:rsid w:val="0099638B"/>
    <w:rsid w:val="009A2BA5"/>
    <w:rsid w:val="009B633B"/>
    <w:rsid w:val="009E0C58"/>
    <w:rsid w:val="009F75C8"/>
    <w:rsid w:val="00A12A31"/>
    <w:rsid w:val="00A16E9D"/>
    <w:rsid w:val="00A5130D"/>
    <w:rsid w:val="00A538DB"/>
    <w:rsid w:val="00A6731C"/>
    <w:rsid w:val="00A72621"/>
    <w:rsid w:val="00A8150E"/>
    <w:rsid w:val="00AA258D"/>
    <w:rsid w:val="00AA292D"/>
    <w:rsid w:val="00AA3D24"/>
    <w:rsid w:val="00AA577D"/>
    <w:rsid w:val="00AC173F"/>
    <w:rsid w:val="00AC45C1"/>
    <w:rsid w:val="00AC6511"/>
    <w:rsid w:val="00AC7932"/>
    <w:rsid w:val="00AD6FD6"/>
    <w:rsid w:val="00AF1973"/>
    <w:rsid w:val="00AF6A77"/>
    <w:rsid w:val="00AF7225"/>
    <w:rsid w:val="00B049CC"/>
    <w:rsid w:val="00B1217D"/>
    <w:rsid w:val="00B129A1"/>
    <w:rsid w:val="00B16EE3"/>
    <w:rsid w:val="00B2514F"/>
    <w:rsid w:val="00B374BB"/>
    <w:rsid w:val="00B37824"/>
    <w:rsid w:val="00B43998"/>
    <w:rsid w:val="00B504F4"/>
    <w:rsid w:val="00B54365"/>
    <w:rsid w:val="00B54A60"/>
    <w:rsid w:val="00B6564B"/>
    <w:rsid w:val="00B93A1A"/>
    <w:rsid w:val="00BA4F2E"/>
    <w:rsid w:val="00BA7D9F"/>
    <w:rsid w:val="00BB1F75"/>
    <w:rsid w:val="00BB7A8E"/>
    <w:rsid w:val="00BC0231"/>
    <w:rsid w:val="00BC04E0"/>
    <w:rsid w:val="00BC1A32"/>
    <w:rsid w:val="00BD66CF"/>
    <w:rsid w:val="00BD6E28"/>
    <w:rsid w:val="00BE663E"/>
    <w:rsid w:val="00BF7DB6"/>
    <w:rsid w:val="00C0473A"/>
    <w:rsid w:val="00C352F7"/>
    <w:rsid w:val="00C356B2"/>
    <w:rsid w:val="00C4253A"/>
    <w:rsid w:val="00C4645C"/>
    <w:rsid w:val="00C50A92"/>
    <w:rsid w:val="00C55524"/>
    <w:rsid w:val="00C562D6"/>
    <w:rsid w:val="00C60D70"/>
    <w:rsid w:val="00C720CD"/>
    <w:rsid w:val="00C76847"/>
    <w:rsid w:val="00C97979"/>
    <w:rsid w:val="00CB2D3B"/>
    <w:rsid w:val="00CC306D"/>
    <w:rsid w:val="00CC57E7"/>
    <w:rsid w:val="00CC7024"/>
    <w:rsid w:val="00CC7655"/>
    <w:rsid w:val="00CD11D2"/>
    <w:rsid w:val="00D114C7"/>
    <w:rsid w:val="00D13E8D"/>
    <w:rsid w:val="00D26244"/>
    <w:rsid w:val="00D30540"/>
    <w:rsid w:val="00D30EE2"/>
    <w:rsid w:val="00D321B0"/>
    <w:rsid w:val="00D36F0D"/>
    <w:rsid w:val="00D4191A"/>
    <w:rsid w:val="00D51C25"/>
    <w:rsid w:val="00D618B6"/>
    <w:rsid w:val="00D72C39"/>
    <w:rsid w:val="00D75EFF"/>
    <w:rsid w:val="00D84A78"/>
    <w:rsid w:val="00D851DB"/>
    <w:rsid w:val="00D92D03"/>
    <w:rsid w:val="00D963F3"/>
    <w:rsid w:val="00DA25CF"/>
    <w:rsid w:val="00DA7FF1"/>
    <w:rsid w:val="00DC15EF"/>
    <w:rsid w:val="00DC30A5"/>
    <w:rsid w:val="00DD4379"/>
    <w:rsid w:val="00DE3879"/>
    <w:rsid w:val="00E20555"/>
    <w:rsid w:val="00E22A87"/>
    <w:rsid w:val="00E32819"/>
    <w:rsid w:val="00E44576"/>
    <w:rsid w:val="00E66C70"/>
    <w:rsid w:val="00E84518"/>
    <w:rsid w:val="00E8670E"/>
    <w:rsid w:val="00E94557"/>
    <w:rsid w:val="00EA1777"/>
    <w:rsid w:val="00EA4641"/>
    <w:rsid w:val="00EA67B1"/>
    <w:rsid w:val="00EB225B"/>
    <w:rsid w:val="00EB2E4A"/>
    <w:rsid w:val="00EB4A0A"/>
    <w:rsid w:val="00EC360B"/>
    <w:rsid w:val="00EC5A83"/>
    <w:rsid w:val="00ED077A"/>
    <w:rsid w:val="00ED216D"/>
    <w:rsid w:val="00ED5791"/>
    <w:rsid w:val="00EF490B"/>
    <w:rsid w:val="00EF62D2"/>
    <w:rsid w:val="00EF6DAE"/>
    <w:rsid w:val="00F022E0"/>
    <w:rsid w:val="00F07AB9"/>
    <w:rsid w:val="00F1418C"/>
    <w:rsid w:val="00F149E9"/>
    <w:rsid w:val="00F4411D"/>
    <w:rsid w:val="00F55DE3"/>
    <w:rsid w:val="00F57367"/>
    <w:rsid w:val="00F605C9"/>
    <w:rsid w:val="00F65CA3"/>
    <w:rsid w:val="00F8100F"/>
    <w:rsid w:val="00F84D0B"/>
    <w:rsid w:val="00F85496"/>
    <w:rsid w:val="00F928DA"/>
    <w:rsid w:val="00FB7D99"/>
    <w:rsid w:val="00FC04D4"/>
    <w:rsid w:val="00FD1F74"/>
    <w:rsid w:val="00FD3B4A"/>
    <w:rsid w:val="00FD42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color w:val="0000FF"/>
        <w:sz w:val="22"/>
        <w:u w:val="single"/>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75"/>
    <w:pPr>
      <w:spacing w:after="0" w:line="240" w:lineRule="auto"/>
    </w:pPr>
    <w:rPr>
      <w:rFonts w:ascii="Arial" w:hAnsi="Arial" w:cs="Arial"/>
      <w:color w:val="000000" w:themeColor="text1"/>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756"/>
    <w:pPr>
      <w:tabs>
        <w:tab w:val="center" w:pos="4513"/>
        <w:tab w:val="right" w:pos="9026"/>
      </w:tabs>
    </w:pPr>
  </w:style>
  <w:style w:type="character" w:customStyle="1" w:styleId="HeaderChar">
    <w:name w:val="Header Char"/>
    <w:basedOn w:val="DefaultParagraphFont"/>
    <w:link w:val="Header"/>
    <w:uiPriority w:val="99"/>
    <w:rsid w:val="00006756"/>
    <w:rPr>
      <w:rFonts w:ascii="Arial" w:hAnsi="Arial" w:cs="Arial"/>
      <w:color w:val="000000" w:themeColor="text1"/>
      <w:sz w:val="24"/>
      <w:u w:val="none"/>
    </w:rPr>
  </w:style>
  <w:style w:type="paragraph" w:styleId="Footer">
    <w:name w:val="footer"/>
    <w:basedOn w:val="Normal"/>
    <w:link w:val="FooterChar"/>
    <w:uiPriority w:val="99"/>
    <w:unhideWhenUsed/>
    <w:rsid w:val="00006756"/>
    <w:pPr>
      <w:tabs>
        <w:tab w:val="center" w:pos="4513"/>
        <w:tab w:val="right" w:pos="9026"/>
      </w:tabs>
    </w:pPr>
  </w:style>
  <w:style w:type="character" w:customStyle="1" w:styleId="FooterChar">
    <w:name w:val="Footer Char"/>
    <w:basedOn w:val="DefaultParagraphFont"/>
    <w:link w:val="Footer"/>
    <w:uiPriority w:val="99"/>
    <w:rsid w:val="00006756"/>
    <w:rPr>
      <w:rFonts w:ascii="Arial" w:hAnsi="Arial" w:cs="Arial"/>
      <w:color w:val="000000" w:themeColor="text1"/>
      <w:sz w:val="24"/>
      <w:u w:val="none"/>
    </w:rPr>
  </w:style>
  <w:style w:type="paragraph" w:styleId="ListParagraph">
    <w:name w:val="List Paragraph"/>
    <w:basedOn w:val="Normal"/>
    <w:uiPriority w:val="34"/>
    <w:qFormat/>
    <w:rsid w:val="00313DFC"/>
    <w:pPr>
      <w:ind w:left="720"/>
      <w:contextualSpacing/>
    </w:pPr>
  </w:style>
  <w:style w:type="paragraph" w:styleId="BalloonText">
    <w:name w:val="Balloon Text"/>
    <w:basedOn w:val="Normal"/>
    <w:link w:val="BalloonTextChar"/>
    <w:uiPriority w:val="99"/>
    <w:semiHidden/>
    <w:unhideWhenUsed/>
    <w:rsid w:val="001457C5"/>
    <w:rPr>
      <w:rFonts w:ascii="Tahoma" w:hAnsi="Tahoma" w:cs="Tahoma"/>
      <w:sz w:val="16"/>
      <w:szCs w:val="16"/>
    </w:rPr>
  </w:style>
  <w:style w:type="character" w:customStyle="1" w:styleId="BalloonTextChar">
    <w:name w:val="Balloon Text Char"/>
    <w:basedOn w:val="DefaultParagraphFont"/>
    <w:link w:val="BalloonText"/>
    <w:uiPriority w:val="99"/>
    <w:semiHidden/>
    <w:rsid w:val="001457C5"/>
    <w:rPr>
      <w:rFonts w:ascii="Tahoma" w:hAnsi="Tahoma" w:cs="Tahoma"/>
      <w:color w:val="000000" w:themeColor="text1"/>
      <w:sz w:val="16"/>
      <w:szCs w:val="16"/>
      <w:u w:val="none"/>
    </w:rPr>
  </w:style>
  <w:style w:type="paragraph" w:styleId="FootnoteText">
    <w:name w:val="footnote text"/>
    <w:basedOn w:val="Normal"/>
    <w:link w:val="FootnoteTextChar"/>
    <w:uiPriority w:val="99"/>
    <w:unhideWhenUsed/>
    <w:rsid w:val="00763257"/>
    <w:rPr>
      <w:sz w:val="20"/>
    </w:rPr>
  </w:style>
  <w:style w:type="character" w:customStyle="1" w:styleId="FootnoteTextChar">
    <w:name w:val="Footnote Text Char"/>
    <w:basedOn w:val="DefaultParagraphFont"/>
    <w:link w:val="FootnoteText"/>
    <w:uiPriority w:val="99"/>
    <w:rsid w:val="00763257"/>
    <w:rPr>
      <w:rFonts w:ascii="Arial" w:hAnsi="Arial" w:cs="Arial"/>
      <w:color w:val="000000" w:themeColor="text1"/>
      <w:sz w:val="20"/>
      <w:u w:val="none"/>
    </w:rPr>
  </w:style>
  <w:style w:type="character" w:styleId="FootnoteReference">
    <w:name w:val="footnote reference"/>
    <w:basedOn w:val="DefaultParagraphFont"/>
    <w:uiPriority w:val="99"/>
    <w:semiHidden/>
    <w:unhideWhenUsed/>
    <w:rsid w:val="00763257"/>
    <w:rPr>
      <w:vertAlign w:val="superscript"/>
    </w:rPr>
  </w:style>
  <w:style w:type="table" w:styleId="TableGrid">
    <w:name w:val="Table Grid"/>
    <w:basedOn w:val="TableNormal"/>
    <w:uiPriority w:val="59"/>
    <w:rsid w:val="00760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1673"/>
    <w:rPr>
      <w:color w:val="0000FF" w:themeColor="hyperlink"/>
      <w:u w:val="single"/>
    </w:rPr>
  </w:style>
  <w:style w:type="paragraph" w:customStyle="1" w:styleId="Default">
    <w:name w:val="Default"/>
    <w:rsid w:val="00123A36"/>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FollowedHyperlink">
    <w:name w:val="FollowedHyperlink"/>
    <w:basedOn w:val="DefaultParagraphFont"/>
    <w:uiPriority w:val="99"/>
    <w:semiHidden/>
    <w:unhideWhenUsed/>
    <w:rsid w:val="00002867"/>
    <w:rPr>
      <w:color w:val="800080" w:themeColor="followedHyperlink"/>
      <w:u w:val="single"/>
    </w:rPr>
  </w:style>
  <w:style w:type="character" w:customStyle="1" w:styleId="apple-converted-space">
    <w:name w:val="apple-converted-space"/>
    <w:basedOn w:val="DefaultParagraphFont"/>
    <w:rsid w:val="00714558"/>
  </w:style>
  <w:style w:type="paragraph" w:styleId="EndnoteText">
    <w:name w:val="endnote text"/>
    <w:basedOn w:val="Normal"/>
    <w:link w:val="EndnoteTextChar"/>
    <w:uiPriority w:val="99"/>
    <w:unhideWhenUsed/>
    <w:rsid w:val="00B37824"/>
    <w:rPr>
      <w:rFonts w:cstheme="minorBidi"/>
      <w:color w:val="auto"/>
      <w:sz w:val="20"/>
    </w:rPr>
  </w:style>
  <w:style w:type="character" w:customStyle="1" w:styleId="EndnoteTextChar">
    <w:name w:val="Endnote Text Char"/>
    <w:basedOn w:val="DefaultParagraphFont"/>
    <w:link w:val="EndnoteText"/>
    <w:uiPriority w:val="99"/>
    <w:rsid w:val="00B37824"/>
    <w:rPr>
      <w:rFonts w:ascii="Arial" w:hAnsi="Arial" w:cstheme="minorBidi"/>
      <w:color w:val="auto"/>
      <w:sz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color w:val="0000FF"/>
        <w:sz w:val="22"/>
        <w:u w:val="single"/>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F75"/>
    <w:pPr>
      <w:spacing w:after="0" w:line="240" w:lineRule="auto"/>
    </w:pPr>
    <w:rPr>
      <w:rFonts w:ascii="Arial" w:hAnsi="Arial" w:cs="Arial"/>
      <w:color w:val="000000" w:themeColor="text1"/>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756"/>
    <w:pPr>
      <w:tabs>
        <w:tab w:val="center" w:pos="4513"/>
        <w:tab w:val="right" w:pos="9026"/>
      </w:tabs>
    </w:pPr>
  </w:style>
  <w:style w:type="character" w:customStyle="1" w:styleId="HeaderChar">
    <w:name w:val="Header Char"/>
    <w:basedOn w:val="DefaultParagraphFont"/>
    <w:link w:val="Header"/>
    <w:uiPriority w:val="99"/>
    <w:rsid w:val="00006756"/>
    <w:rPr>
      <w:rFonts w:ascii="Arial" w:hAnsi="Arial" w:cs="Arial"/>
      <w:color w:val="000000" w:themeColor="text1"/>
      <w:sz w:val="24"/>
      <w:u w:val="none"/>
    </w:rPr>
  </w:style>
  <w:style w:type="paragraph" w:styleId="Footer">
    <w:name w:val="footer"/>
    <w:basedOn w:val="Normal"/>
    <w:link w:val="FooterChar"/>
    <w:uiPriority w:val="99"/>
    <w:unhideWhenUsed/>
    <w:rsid w:val="00006756"/>
    <w:pPr>
      <w:tabs>
        <w:tab w:val="center" w:pos="4513"/>
        <w:tab w:val="right" w:pos="9026"/>
      </w:tabs>
    </w:pPr>
  </w:style>
  <w:style w:type="character" w:customStyle="1" w:styleId="FooterChar">
    <w:name w:val="Footer Char"/>
    <w:basedOn w:val="DefaultParagraphFont"/>
    <w:link w:val="Footer"/>
    <w:uiPriority w:val="99"/>
    <w:rsid w:val="00006756"/>
    <w:rPr>
      <w:rFonts w:ascii="Arial" w:hAnsi="Arial" w:cs="Arial"/>
      <w:color w:val="000000" w:themeColor="text1"/>
      <w:sz w:val="24"/>
      <w:u w:val="none"/>
    </w:rPr>
  </w:style>
  <w:style w:type="paragraph" w:styleId="ListParagraph">
    <w:name w:val="List Paragraph"/>
    <w:basedOn w:val="Normal"/>
    <w:uiPriority w:val="34"/>
    <w:qFormat/>
    <w:rsid w:val="00313DFC"/>
    <w:pPr>
      <w:ind w:left="720"/>
      <w:contextualSpacing/>
    </w:pPr>
  </w:style>
  <w:style w:type="paragraph" w:styleId="BalloonText">
    <w:name w:val="Balloon Text"/>
    <w:basedOn w:val="Normal"/>
    <w:link w:val="BalloonTextChar"/>
    <w:uiPriority w:val="99"/>
    <w:semiHidden/>
    <w:unhideWhenUsed/>
    <w:rsid w:val="001457C5"/>
    <w:rPr>
      <w:rFonts w:ascii="Tahoma" w:hAnsi="Tahoma" w:cs="Tahoma"/>
      <w:sz w:val="16"/>
      <w:szCs w:val="16"/>
    </w:rPr>
  </w:style>
  <w:style w:type="character" w:customStyle="1" w:styleId="BalloonTextChar">
    <w:name w:val="Balloon Text Char"/>
    <w:basedOn w:val="DefaultParagraphFont"/>
    <w:link w:val="BalloonText"/>
    <w:uiPriority w:val="99"/>
    <w:semiHidden/>
    <w:rsid w:val="001457C5"/>
    <w:rPr>
      <w:rFonts w:ascii="Tahoma" w:hAnsi="Tahoma" w:cs="Tahoma"/>
      <w:color w:val="000000" w:themeColor="text1"/>
      <w:sz w:val="16"/>
      <w:szCs w:val="16"/>
      <w:u w:val="none"/>
    </w:rPr>
  </w:style>
  <w:style w:type="paragraph" w:styleId="FootnoteText">
    <w:name w:val="footnote text"/>
    <w:basedOn w:val="Normal"/>
    <w:link w:val="FootnoteTextChar"/>
    <w:uiPriority w:val="99"/>
    <w:unhideWhenUsed/>
    <w:rsid w:val="00763257"/>
    <w:rPr>
      <w:sz w:val="20"/>
    </w:rPr>
  </w:style>
  <w:style w:type="character" w:customStyle="1" w:styleId="FootnoteTextChar">
    <w:name w:val="Footnote Text Char"/>
    <w:basedOn w:val="DefaultParagraphFont"/>
    <w:link w:val="FootnoteText"/>
    <w:uiPriority w:val="99"/>
    <w:rsid w:val="00763257"/>
    <w:rPr>
      <w:rFonts w:ascii="Arial" w:hAnsi="Arial" w:cs="Arial"/>
      <w:color w:val="000000" w:themeColor="text1"/>
      <w:sz w:val="20"/>
      <w:u w:val="none"/>
    </w:rPr>
  </w:style>
  <w:style w:type="character" w:styleId="FootnoteReference">
    <w:name w:val="footnote reference"/>
    <w:basedOn w:val="DefaultParagraphFont"/>
    <w:uiPriority w:val="99"/>
    <w:semiHidden/>
    <w:unhideWhenUsed/>
    <w:rsid w:val="00763257"/>
    <w:rPr>
      <w:vertAlign w:val="superscript"/>
    </w:rPr>
  </w:style>
  <w:style w:type="table" w:styleId="TableGrid">
    <w:name w:val="Table Grid"/>
    <w:basedOn w:val="TableNormal"/>
    <w:uiPriority w:val="59"/>
    <w:rsid w:val="00760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1673"/>
    <w:rPr>
      <w:color w:val="0000FF" w:themeColor="hyperlink"/>
      <w:u w:val="single"/>
    </w:rPr>
  </w:style>
  <w:style w:type="paragraph" w:customStyle="1" w:styleId="Default">
    <w:name w:val="Default"/>
    <w:rsid w:val="00123A36"/>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FollowedHyperlink">
    <w:name w:val="FollowedHyperlink"/>
    <w:basedOn w:val="DefaultParagraphFont"/>
    <w:uiPriority w:val="99"/>
    <w:semiHidden/>
    <w:unhideWhenUsed/>
    <w:rsid w:val="00002867"/>
    <w:rPr>
      <w:color w:val="800080" w:themeColor="followedHyperlink"/>
      <w:u w:val="single"/>
    </w:rPr>
  </w:style>
  <w:style w:type="character" w:customStyle="1" w:styleId="apple-converted-space">
    <w:name w:val="apple-converted-space"/>
    <w:basedOn w:val="DefaultParagraphFont"/>
    <w:rsid w:val="00714558"/>
  </w:style>
  <w:style w:type="paragraph" w:styleId="EndnoteText">
    <w:name w:val="endnote text"/>
    <w:basedOn w:val="Normal"/>
    <w:link w:val="EndnoteTextChar"/>
    <w:uiPriority w:val="99"/>
    <w:unhideWhenUsed/>
    <w:rsid w:val="00B37824"/>
    <w:rPr>
      <w:rFonts w:cstheme="minorBidi"/>
      <w:color w:val="auto"/>
      <w:sz w:val="20"/>
    </w:rPr>
  </w:style>
  <w:style w:type="character" w:customStyle="1" w:styleId="EndnoteTextChar">
    <w:name w:val="Endnote Text Char"/>
    <w:basedOn w:val="DefaultParagraphFont"/>
    <w:link w:val="EndnoteText"/>
    <w:uiPriority w:val="99"/>
    <w:rsid w:val="00B37824"/>
    <w:rPr>
      <w:rFonts w:ascii="Arial" w:hAnsi="Arial" w:cstheme="minorBidi"/>
      <w:color w:val="auto"/>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6666">
      <w:bodyDiv w:val="1"/>
      <w:marLeft w:val="0"/>
      <w:marRight w:val="0"/>
      <w:marTop w:val="0"/>
      <w:marBottom w:val="0"/>
      <w:divBdr>
        <w:top w:val="none" w:sz="0" w:space="0" w:color="auto"/>
        <w:left w:val="none" w:sz="0" w:space="0" w:color="auto"/>
        <w:bottom w:val="none" w:sz="0" w:space="0" w:color="auto"/>
        <w:right w:val="none" w:sz="0" w:space="0" w:color="auto"/>
      </w:divBdr>
      <w:divsChild>
        <w:div w:id="1448770179">
          <w:marLeft w:val="0"/>
          <w:marRight w:val="0"/>
          <w:marTop w:val="0"/>
          <w:marBottom w:val="0"/>
          <w:divBdr>
            <w:top w:val="none" w:sz="0" w:space="0" w:color="auto"/>
            <w:left w:val="none" w:sz="0" w:space="0" w:color="auto"/>
            <w:bottom w:val="none" w:sz="0" w:space="0" w:color="auto"/>
            <w:right w:val="none" w:sz="0" w:space="0" w:color="auto"/>
          </w:divBdr>
        </w:div>
        <w:div w:id="254482550">
          <w:marLeft w:val="0"/>
          <w:marRight w:val="0"/>
          <w:marTop w:val="0"/>
          <w:marBottom w:val="0"/>
          <w:divBdr>
            <w:top w:val="none" w:sz="0" w:space="0" w:color="auto"/>
            <w:left w:val="none" w:sz="0" w:space="0" w:color="auto"/>
            <w:bottom w:val="none" w:sz="0" w:space="0" w:color="auto"/>
            <w:right w:val="none" w:sz="0" w:space="0" w:color="auto"/>
          </w:divBdr>
        </w:div>
        <w:div w:id="2011329374">
          <w:marLeft w:val="0"/>
          <w:marRight w:val="0"/>
          <w:marTop w:val="0"/>
          <w:marBottom w:val="0"/>
          <w:divBdr>
            <w:top w:val="none" w:sz="0" w:space="0" w:color="auto"/>
            <w:left w:val="none" w:sz="0" w:space="0" w:color="auto"/>
            <w:bottom w:val="none" w:sz="0" w:space="0" w:color="auto"/>
            <w:right w:val="none" w:sz="0" w:space="0" w:color="auto"/>
          </w:divBdr>
        </w:div>
      </w:divsChild>
    </w:div>
    <w:div w:id="600797321">
      <w:bodyDiv w:val="1"/>
      <w:marLeft w:val="0"/>
      <w:marRight w:val="0"/>
      <w:marTop w:val="0"/>
      <w:marBottom w:val="0"/>
      <w:divBdr>
        <w:top w:val="none" w:sz="0" w:space="0" w:color="auto"/>
        <w:left w:val="none" w:sz="0" w:space="0" w:color="auto"/>
        <w:bottom w:val="none" w:sz="0" w:space="0" w:color="auto"/>
        <w:right w:val="none" w:sz="0" w:space="0" w:color="auto"/>
      </w:divBdr>
      <w:divsChild>
        <w:div w:id="252323545">
          <w:marLeft w:val="0"/>
          <w:marRight w:val="0"/>
          <w:marTop w:val="0"/>
          <w:marBottom w:val="0"/>
          <w:divBdr>
            <w:top w:val="none" w:sz="0" w:space="0" w:color="auto"/>
            <w:left w:val="none" w:sz="0" w:space="0" w:color="auto"/>
            <w:bottom w:val="none" w:sz="0" w:space="0" w:color="auto"/>
            <w:right w:val="none" w:sz="0" w:space="0" w:color="auto"/>
          </w:divBdr>
        </w:div>
        <w:div w:id="1767191749">
          <w:marLeft w:val="0"/>
          <w:marRight w:val="0"/>
          <w:marTop w:val="0"/>
          <w:marBottom w:val="0"/>
          <w:divBdr>
            <w:top w:val="none" w:sz="0" w:space="0" w:color="auto"/>
            <w:left w:val="none" w:sz="0" w:space="0" w:color="auto"/>
            <w:bottom w:val="none" w:sz="0" w:space="0" w:color="auto"/>
            <w:right w:val="none" w:sz="0" w:space="0" w:color="auto"/>
          </w:divBdr>
        </w:div>
        <w:div w:id="83963620">
          <w:marLeft w:val="0"/>
          <w:marRight w:val="0"/>
          <w:marTop w:val="0"/>
          <w:marBottom w:val="0"/>
          <w:divBdr>
            <w:top w:val="none" w:sz="0" w:space="0" w:color="auto"/>
            <w:left w:val="none" w:sz="0" w:space="0" w:color="auto"/>
            <w:bottom w:val="none" w:sz="0" w:space="0" w:color="auto"/>
            <w:right w:val="none" w:sz="0" w:space="0" w:color="auto"/>
          </w:divBdr>
        </w:div>
        <w:div w:id="145245311">
          <w:marLeft w:val="0"/>
          <w:marRight w:val="0"/>
          <w:marTop w:val="0"/>
          <w:marBottom w:val="0"/>
          <w:divBdr>
            <w:top w:val="none" w:sz="0" w:space="0" w:color="auto"/>
            <w:left w:val="none" w:sz="0" w:space="0" w:color="auto"/>
            <w:bottom w:val="none" w:sz="0" w:space="0" w:color="auto"/>
            <w:right w:val="none" w:sz="0" w:space="0" w:color="auto"/>
          </w:divBdr>
        </w:div>
        <w:div w:id="1198082397">
          <w:marLeft w:val="0"/>
          <w:marRight w:val="0"/>
          <w:marTop w:val="0"/>
          <w:marBottom w:val="0"/>
          <w:divBdr>
            <w:top w:val="none" w:sz="0" w:space="0" w:color="auto"/>
            <w:left w:val="none" w:sz="0" w:space="0" w:color="auto"/>
            <w:bottom w:val="none" w:sz="0" w:space="0" w:color="auto"/>
            <w:right w:val="none" w:sz="0" w:space="0" w:color="auto"/>
          </w:divBdr>
        </w:div>
      </w:divsChild>
    </w:div>
    <w:div w:id="1496799043">
      <w:bodyDiv w:val="1"/>
      <w:marLeft w:val="0"/>
      <w:marRight w:val="0"/>
      <w:marTop w:val="0"/>
      <w:marBottom w:val="0"/>
      <w:divBdr>
        <w:top w:val="none" w:sz="0" w:space="0" w:color="auto"/>
        <w:left w:val="none" w:sz="0" w:space="0" w:color="auto"/>
        <w:bottom w:val="none" w:sz="0" w:space="0" w:color="auto"/>
        <w:right w:val="none" w:sz="0" w:space="0" w:color="auto"/>
      </w:divBdr>
      <w:divsChild>
        <w:div w:id="69233626">
          <w:marLeft w:val="0"/>
          <w:marRight w:val="0"/>
          <w:marTop w:val="0"/>
          <w:marBottom w:val="0"/>
          <w:divBdr>
            <w:top w:val="none" w:sz="0" w:space="0" w:color="auto"/>
            <w:left w:val="none" w:sz="0" w:space="0" w:color="auto"/>
            <w:bottom w:val="none" w:sz="0" w:space="0" w:color="auto"/>
            <w:right w:val="none" w:sz="0" w:space="0" w:color="auto"/>
          </w:divBdr>
        </w:div>
        <w:div w:id="583732426">
          <w:marLeft w:val="0"/>
          <w:marRight w:val="0"/>
          <w:marTop w:val="0"/>
          <w:marBottom w:val="0"/>
          <w:divBdr>
            <w:top w:val="none" w:sz="0" w:space="0" w:color="auto"/>
            <w:left w:val="none" w:sz="0" w:space="0" w:color="auto"/>
            <w:bottom w:val="none" w:sz="0" w:space="0" w:color="auto"/>
            <w:right w:val="none" w:sz="0" w:space="0" w:color="auto"/>
          </w:divBdr>
        </w:div>
        <w:div w:id="569196167">
          <w:marLeft w:val="0"/>
          <w:marRight w:val="0"/>
          <w:marTop w:val="0"/>
          <w:marBottom w:val="0"/>
          <w:divBdr>
            <w:top w:val="none" w:sz="0" w:space="0" w:color="auto"/>
            <w:left w:val="none" w:sz="0" w:space="0" w:color="auto"/>
            <w:bottom w:val="none" w:sz="0" w:space="0" w:color="auto"/>
            <w:right w:val="none" w:sz="0" w:space="0" w:color="auto"/>
          </w:divBdr>
        </w:div>
        <w:div w:id="1252468411">
          <w:marLeft w:val="0"/>
          <w:marRight w:val="0"/>
          <w:marTop w:val="0"/>
          <w:marBottom w:val="0"/>
          <w:divBdr>
            <w:top w:val="none" w:sz="0" w:space="0" w:color="auto"/>
            <w:left w:val="none" w:sz="0" w:space="0" w:color="auto"/>
            <w:bottom w:val="none" w:sz="0" w:space="0" w:color="auto"/>
            <w:right w:val="none" w:sz="0" w:space="0" w:color="auto"/>
          </w:divBdr>
        </w:div>
        <w:div w:id="2011062866">
          <w:marLeft w:val="0"/>
          <w:marRight w:val="0"/>
          <w:marTop w:val="0"/>
          <w:marBottom w:val="0"/>
          <w:divBdr>
            <w:top w:val="none" w:sz="0" w:space="0" w:color="auto"/>
            <w:left w:val="none" w:sz="0" w:space="0" w:color="auto"/>
            <w:bottom w:val="none" w:sz="0" w:space="0" w:color="auto"/>
            <w:right w:val="none" w:sz="0" w:space="0" w:color="auto"/>
          </w:divBdr>
        </w:div>
        <w:div w:id="2032873830">
          <w:marLeft w:val="0"/>
          <w:marRight w:val="0"/>
          <w:marTop w:val="0"/>
          <w:marBottom w:val="0"/>
          <w:divBdr>
            <w:top w:val="none" w:sz="0" w:space="0" w:color="auto"/>
            <w:left w:val="none" w:sz="0" w:space="0" w:color="auto"/>
            <w:bottom w:val="none" w:sz="0" w:space="0" w:color="auto"/>
            <w:right w:val="none" w:sz="0" w:space="0" w:color="auto"/>
          </w:divBdr>
        </w:div>
        <w:div w:id="573394490">
          <w:marLeft w:val="0"/>
          <w:marRight w:val="0"/>
          <w:marTop w:val="0"/>
          <w:marBottom w:val="0"/>
          <w:divBdr>
            <w:top w:val="none" w:sz="0" w:space="0" w:color="auto"/>
            <w:left w:val="none" w:sz="0" w:space="0" w:color="auto"/>
            <w:bottom w:val="none" w:sz="0" w:space="0" w:color="auto"/>
            <w:right w:val="none" w:sz="0" w:space="0" w:color="auto"/>
          </w:divBdr>
        </w:div>
        <w:div w:id="353649296">
          <w:marLeft w:val="0"/>
          <w:marRight w:val="0"/>
          <w:marTop w:val="0"/>
          <w:marBottom w:val="0"/>
          <w:divBdr>
            <w:top w:val="none" w:sz="0" w:space="0" w:color="auto"/>
            <w:left w:val="none" w:sz="0" w:space="0" w:color="auto"/>
            <w:bottom w:val="none" w:sz="0" w:space="0" w:color="auto"/>
            <w:right w:val="none" w:sz="0" w:space="0" w:color="auto"/>
          </w:divBdr>
        </w:div>
        <w:div w:id="459224514">
          <w:marLeft w:val="0"/>
          <w:marRight w:val="0"/>
          <w:marTop w:val="0"/>
          <w:marBottom w:val="0"/>
          <w:divBdr>
            <w:top w:val="none" w:sz="0" w:space="0" w:color="auto"/>
            <w:left w:val="none" w:sz="0" w:space="0" w:color="auto"/>
            <w:bottom w:val="none" w:sz="0" w:space="0" w:color="auto"/>
            <w:right w:val="none" w:sz="0" w:space="0" w:color="auto"/>
          </w:divBdr>
        </w:div>
      </w:divsChild>
    </w:div>
    <w:div w:id="1830251129">
      <w:bodyDiv w:val="1"/>
      <w:marLeft w:val="0"/>
      <w:marRight w:val="0"/>
      <w:marTop w:val="0"/>
      <w:marBottom w:val="0"/>
      <w:divBdr>
        <w:top w:val="none" w:sz="0" w:space="0" w:color="auto"/>
        <w:left w:val="none" w:sz="0" w:space="0" w:color="auto"/>
        <w:bottom w:val="none" w:sz="0" w:space="0" w:color="auto"/>
        <w:right w:val="none" w:sz="0" w:space="0" w:color="auto"/>
      </w:divBdr>
      <w:divsChild>
        <w:div w:id="1280868082">
          <w:marLeft w:val="0"/>
          <w:marRight w:val="0"/>
          <w:marTop w:val="0"/>
          <w:marBottom w:val="0"/>
          <w:divBdr>
            <w:top w:val="none" w:sz="0" w:space="0" w:color="auto"/>
            <w:left w:val="none" w:sz="0" w:space="0" w:color="auto"/>
            <w:bottom w:val="none" w:sz="0" w:space="0" w:color="auto"/>
            <w:right w:val="none" w:sz="0" w:space="0" w:color="auto"/>
          </w:divBdr>
        </w:div>
        <w:div w:id="1124345087">
          <w:marLeft w:val="0"/>
          <w:marRight w:val="0"/>
          <w:marTop w:val="0"/>
          <w:marBottom w:val="0"/>
          <w:divBdr>
            <w:top w:val="none" w:sz="0" w:space="0" w:color="auto"/>
            <w:left w:val="none" w:sz="0" w:space="0" w:color="auto"/>
            <w:bottom w:val="none" w:sz="0" w:space="0" w:color="auto"/>
            <w:right w:val="none" w:sz="0" w:space="0" w:color="auto"/>
          </w:divBdr>
        </w:div>
        <w:div w:id="1470631717">
          <w:marLeft w:val="0"/>
          <w:marRight w:val="0"/>
          <w:marTop w:val="0"/>
          <w:marBottom w:val="0"/>
          <w:divBdr>
            <w:top w:val="none" w:sz="0" w:space="0" w:color="auto"/>
            <w:left w:val="none" w:sz="0" w:space="0" w:color="auto"/>
            <w:bottom w:val="none" w:sz="0" w:space="0" w:color="auto"/>
            <w:right w:val="none" w:sz="0" w:space="0" w:color="auto"/>
          </w:divBdr>
        </w:div>
        <w:div w:id="286544244">
          <w:marLeft w:val="0"/>
          <w:marRight w:val="0"/>
          <w:marTop w:val="0"/>
          <w:marBottom w:val="0"/>
          <w:divBdr>
            <w:top w:val="none" w:sz="0" w:space="0" w:color="auto"/>
            <w:left w:val="none" w:sz="0" w:space="0" w:color="auto"/>
            <w:bottom w:val="none" w:sz="0" w:space="0" w:color="auto"/>
            <w:right w:val="none" w:sz="0" w:space="0" w:color="auto"/>
          </w:divBdr>
        </w:div>
      </w:divsChild>
    </w:div>
    <w:div w:id="1864323072">
      <w:bodyDiv w:val="1"/>
      <w:marLeft w:val="0"/>
      <w:marRight w:val="0"/>
      <w:marTop w:val="0"/>
      <w:marBottom w:val="0"/>
      <w:divBdr>
        <w:top w:val="none" w:sz="0" w:space="0" w:color="auto"/>
        <w:left w:val="none" w:sz="0" w:space="0" w:color="auto"/>
        <w:bottom w:val="none" w:sz="0" w:space="0" w:color="auto"/>
        <w:right w:val="none" w:sz="0" w:space="0" w:color="auto"/>
      </w:divBdr>
      <w:divsChild>
        <w:div w:id="1213274367">
          <w:marLeft w:val="0"/>
          <w:marRight w:val="0"/>
          <w:marTop w:val="0"/>
          <w:marBottom w:val="0"/>
          <w:divBdr>
            <w:top w:val="none" w:sz="0" w:space="0" w:color="auto"/>
            <w:left w:val="none" w:sz="0" w:space="0" w:color="auto"/>
            <w:bottom w:val="none" w:sz="0" w:space="0" w:color="auto"/>
            <w:right w:val="none" w:sz="0" w:space="0" w:color="auto"/>
          </w:divBdr>
        </w:div>
        <w:div w:id="144861952">
          <w:marLeft w:val="0"/>
          <w:marRight w:val="0"/>
          <w:marTop w:val="0"/>
          <w:marBottom w:val="0"/>
          <w:divBdr>
            <w:top w:val="none" w:sz="0" w:space="0" w:color="auto"/>
            <w:left w:val="none" w:sz="0" w:space="0" w:color="auto"/>
            <w:bottom w:val="none" w:sz="0" w:space="0" w:color="auto"/>
            <w:right w:val="none" w:sz="0" w:space="0" w:color="auto"/>
          </w:divBdr>
        </w:div>
        <w:div w:id="72355267">
          <w:marLeft w:val="0"/>
          <w:marRight w:val="0"/>
          <w:marTop w:val="0"/>
          <w:marBottom w:val="0"/>
          <w:divBdr>
            <w:top w:val="none" w:sz="0" w:space="0" w:color="auto"/>
            <w:left w:val="none" w:sz="0" w:space="0" w:color="auto"/>
            <w:bottom w:val="none" w:sz="0" w:space="0" w:color="auto"/>
            <w:right w:val="none" w:sz="0" w:space="0" w:color="auto"/>
          </w:divBdr>
        </w:div>
      </w:divsChild>
    </w:div>
    <w:div w:id="1875654517">
      <w:bodyDiv w:val="1"/>
      <w:marLeft w:val="0"/>
      <w:marRight w:val="0"/>
      <w:marTop w:val="0"/>
      <w:marBottom w:val="0"/>
      <w:divBdr>
        <w:top w:val="none" w:sz="0" w:space="0" w:color="auto"/>
        <w:left w:val="none" w:sz="0" w:space="0" w:color="auto"/>
        <w:bottom w:val="none" w:sz="0" w:space="0" w:color="auto"/>
        <w:right w:val="none" w:sz="0" w:space="0" w:color="auto"/>
      </w:divBdr>
      <w:divsChild>
        <w:div w:id="1111045510">
          <w:marLeft w:val="0"/>
          <w:marRight w:val="0"/>
          <w:marTop w:val="0"/>
          <w:marBottom w:val="0"/>
          <w:divBdr>
            <w:top w:val="none" w:sz="0" w:space="0" w:color="auto"/>
            <w:left w:val="none" w:sz="0" w:space="0" w:color="auto"/>
            <w:bottom w:val="none" w:sz="0" w:space="0" w:color="auto"/>
            <w:right w:val="none" w:sz="0" w:space="0" w:color="auto"/>
          </w:divBdr>
        </w:div>
        <w:div w:id="1773237185">
          <w:marLeft w:val="0"/>
          <w:marRight w:val="0"/>
          <w:marTop w:val="0"/>
          <w:marBottom w:val="0"/>
          <w:divBdr>
            <w:top w:val="none" w:sz="0" w:space="0" w:color="auto"/>
            <w:left w:val="none" w:sz="0" w:space="0" w:color="auto"/>
            <w:bottom w:val="none" w:sz="0" w:space="0" w:color="auto"/>
            <w:right w:val="none" w:sz="0" w:space="0" w:color="auto"/>
          </w:divBdr>
        </w:div>
        <w:div w:id="1271931246">
          <w:marLeft w:val="0"/>
          <w:marRight w:val="0"/>
          <w:marTop w:val="0"/>
          <w:marBottom w:val="0"/>
          <w:divBdr>
            <w:top w:val="none" w:sz="0" w:space="0" w:color="auto"/>
            <w:left w:val="none" w:sz="0" w:space="0" w:color="auto"/>
            <w:bottom w:val="none" w:sz="0" w:space="0" w:color="auto"/>
            <w:right w:val="none" w:sz="0" w:space="0" w:color="auto"/>
          </w:divBdr>
        </w:div>
        <w:div w:id="2023429374">
          <w:marLeft w:val="0"/>
          <w:marRight w:val="0"/>
          <w:marTop w:val="0"/>
          <w:marBottom w:val="0"/>
          <w:divBdr>
            <w:top w:val="none" w:sz="0" w:space="0" w:color="auto"/>
            <w:left w:val="none" w:sz="0" w:space="0" w:color="auto"/>
            <w:bottom w:val="none" w:sz="0" w:space="0" w:color="auto"/>
            <w:right w:val="none" w:sz="0" w:space="0" w:color="auto"/>
          </w:divBdr>
        </w:div>
        <w:div w:id="1892035262">
          <w:marLeft w:val="0"/>
          <w:marRight w:val="0"/>
          <w:marTop w:val="0"/>
          <w:marBottom w:val="0"/>
          <w:divBdr>
            <w:top w:val="none" w:sz="0" w:space="0" w:color="auto"/>
            <w:left w:val="none" w:sz="0" w:space="0" w:color="auto"/>
            <w:bottom w:val="none" w:sz="0" w:space="0" w:color="auto"/>
            <w:right w:val="none" w:sz="0" w:space="0" w:color="auto"/>
          </w:divBdr>
        </w:div>
        <w:div w:id="1566181113">
          <w:marLeft w:val="0"/>
          <w:marRight w:val="0"/>
          <w:marTop w:val="0"/>
          <w:marBottom w:val="0"/>
          <w:divBdr>
            <w:top w:val="none" w:sz="0" w:space="0" w:color="auto"/>
            <w:left w:val="none" w:sz="0" w:space="0" w:color="auto"/>
            <w:bottom w:val="none" w:sz="0" w:space="0" w:color="auto"/>
            <w:right w:val="none" w:sz="0" w:space="0" w:color="auto"/>
          </w:divBdr>
        </w:div>
        <w:div w:id="18512410">
          <w:marLeft w:val="0"/>
          <w:marRight w:val="0"/>
          <w:marTop w:val="0"/>
          <w:marBottom w:val="0"/>
          <w:divBdr>
            <w:top w:val="none" w:sz="0" w:space="0" w:color="auto"/>
            <w:left w:val="none" w:sz="0" w:space="0" w:color="auto"/>
            <w:bottom w:val="none" w:sz="0" w:space="0" w:color="auto"/>
            <w:right w:val="none" w:sz="0" w:space="0" w:color="auto"/>
          </w:divBdr>
        </w:div>
        <w:div w:id="1444885125">
          <w:marLeft w:val="0"/>
          <w:marRight w:val="0"/>
          <w:marTop w:val="0"/>
          <w:marBottom w:val="0"/>
          <w:divBdr>
            <w:top w:val="none" w:sz="0" w:space="0" w:color="auto"/>
            <w:left w:val="none" w:sz="0" w:space="0" w:color="auto"/>
            <w:bottom w:val="none" w:sz="0" w:space="0" w:color="auto"/>
            <w:right w:val="none" w:sz="0" w:space="0" w:color="auto"/>
          </w:divBdr>
        </w:div>
        <w:div w:id="916943132">
          <w:marLeft w:val="0"/>
          <w:marRight w:val="0"/>
          <w:marTop w:val="0"/>
          <w:marBottom w:val="0"/>
          <w:divBdr>
            <w:top w:val="none" w:sz="0" w:space="0" w:color="auto"/>
            <w:left w:val="none" w:sz="0" w:space="0" w:color="auto"/>
            <w:bottom w:val="none" w:sz="0" w:space="0" w:color="auto"/>
            <w:right w:val="none" w:sz="0" w:space="0" w:color="auto"/>
          </w:divBdr>
        </w:div>
        <w:div w:id="1644697839">
          <w:marLeft w:val="0"/>
          <w:marRight w:val="0"/>
          <w:marTop w:val="0"/>
          <w:marBottom w:val="0"/>
          <w:divBdr>
            <w:top w:val="none" w:sz="0" w:space="0" w:color="auto"/>
            <w:left w:val="none" w:sz="0" w:space="0" w:color="auto"/>
            <w:bottom w:val="none" w:sz="0" w:space="0" w:color="auto"/>
            <w:right w:val="none" w:sz="0" w:space="0" w:color="auto"/>
          </w:divBdr>
        </w:div>
        <w:div w:id="132331434">
          <w:marLeft w:val="0"/>
          <w:marRight w:val="0"/>
          <w:marTop w:val="0"/>
          <w:marBottom w:val="0"/>
          <w:divBdr>
            <w:top w:val="none" w:sz="0" w:space="0" w:color="auto"/>
            <w:left w:val="none" w:sz="0" w:space="0" w:color="auto"/>
            <w:bottom w:val="none" w:sz="0" w:space="0" w:color="auto"/>
            <w:right w:val="none" w:sz="0" w:space="0" w:color="auto"/>
          </w:divBdr>
        </w:div>
        <w:div w:id="524370121">
          <w:marLeft w:val="0"/>
          <w:marRight w:val="0"/>
          <w:marTop w:val="0"/>
          <w:marBottom w:val="0"/>
          <w:divBdr>
            <w:top w:val="none" w:sz="0" w:space="0" w:color="auto"/>
            <w:left w:val="none" w:sz="0" w:space="0" w:color="auto"/>
            <w:bottom w:val="none" w:sz="0" w:space="0" w:color="auto"/>
            <w:right w:val="none" w:sz="0" w:space="0" w:color="auto"/>
          </w:divBdr>
        </w:div>
      </w:divsChild>
    </w:div>
    <w:div w:id="2009937552">
      <w:bodyDiv w:val="1"/>
      <w:marLeft w:val="0"/>
      <w:marRight w:val="0"/>
      <w:marTop w:val="0"/>
      <w:marBottom w:val="0"/>
      <w:divBdr>
        <w:top w:val="none" w:sz="0" w:space="0" w:color="auto"/>
        <w:left w:val="none" w:sz="0" w:space="0" w:color="auto"/>
        <w:bottom w:val="none" w:sz="0" w:space="0" w:color="auto"/>
        <w:right w:val="none" w:sz="0" w:space="0" w:color="auto"/>
      </w:divBdr>
      <w:divsChild>
        <w:div w:id="805002449">
          <w:marLeft w:val="0"/>
          <w:marRight w:val="0"/>
          <w:marTop w:val="0"/>
          <w:marBottom w:val="0"/>
          <w:divBdr>
            <w:top w:val="none" w:sz="0" w:space="0" w:color="auto"/>
            <w:left w:val="none" w:sz="0" w:space="0" w:color="auto"/>
            <w:bottom w:val="none" w:sz="0" w:space="0" w:color="auto"/>
            <w:right w:val="none" w:sz="0" w:space="0" w:color="auto"/>
          </w:divBdr>
        </w:div>
        <w:div w:id="1607538019">
          <w:marLeft w:val="0"/>
          <w:marRight w:val="0"/>
          <w:marTop w:val="0"/>
          <w:marBottom w:val="0"/>
          <w:divBdr>
            <w:top w:val="none" w:sz="0" w:space="0" w:color="auto"/>
            <w:left w:val="none" w:sz="0" w:space="0" w:color="auto"/>
            <w:bottom w:val="none" w:sz="0" w:space="0" w:color="auto"/>
            <w:right w:val="none" w:sz="0" w:space="0" w:color="auto"/>
          </w:divBdr>
        </w:div>
        <w:div w:id="1942565034">
          <w:marLeft w:val="0"/>
          <w:marRight w:val="0"/>
          <w:marTop w:val="0"/>
          <w:marBottom w:val="0"/>
          <w:divBdr>
            <w:top w:val="none" w:sz="0" w:space="0" w:color="auto"/>
            <w:left w:val="none" w:sz="0" w:space="0" w:color="auto"/>
            <w:bottom w:val="none" w:sz="0" w:space="0" w:color="auto"/>
            <w:right w:val="none" w:sz="0" w:space="0" w:color="auto"/>
          </w:divBdr>
        </w:div>
        <w:div w:id="208957659">
          <w:marLeft w:val="0"/>
          <w:marRight w:val="0"/>
          <w:marTop w:val="0"/>
          <w:marBottom w:val="0"/>
          <w:divBdr>
            <w:top w:val="none" w:sz="0" w:space="0" w:color="auto"/>
            <w:left w:val="none" w:sz="0" w:space="0" w:color="auto"/>
            <w:bottom w:val="none" w:sz="0" w:space="0" w:color="auto"/>
            <w:right w:val="none" w:sz="0" w:space="0" w:color="auto"/>
          </w:divBdr>
        </w:div>
        <w:div w:id="978920153">
          <w:marLeft w:val="0"/>
          <w:marRight w:val="0"/>
          <w:marTop w:val="0"/>
          <w:marBottom w:val="0"/>
          <w:divBdr>
            <w:top w:val="none" w:sz="0" w:space="0" w:color="auto"/>
            <w:left w:val="none" w:sz="0" w:space="0" w:color="auto"/>
            <w:bottom w:val="none" w:sz="0" w:space="0" w:color="auto"/>
            <w:right w:val="none" w:sz="0" w:space="0" w:color="auto"/>
          </w:divBdr>
        </w:div>
        <w:div w:id="2009551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heses.lse.ac.uk/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blicfinance.co.uk/features/2014/08/bubble-troub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j.smyth@sheffield.ac.uk" TargetMode="External"/><Relationship Id="rId4" Type="http://schemas.microsoft.com/office/2007/relationships/stylesWithEffects" Target="stylesWithEffects.xml"/><Relationship Id="rId9" Type="http://schemas.openxmlformats.org/officeDocument/2006/relationships/hyperlink" Target="http://www.sheffield.ac.uk/management/research/crafic" TargetMode="External"/><Relationship Id="rId14" Type="http://schemas.openxmlformats.org/officeDocument/2006/relationships/hyperlink" Target="http://www.parliament.uk/briefing-papers/SN06416.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bc.co.uk/programmes/b03nt9vr" TargetMode="External"/><Relationship Id="rId1" Type="http://schemas.openxmlformats.org/officeDocument/2006/relationships/hyperlink" Target="http://www.york.ac.uk/res/ukhr/ukhr14/compendiu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A7D86-361F-4788-9F65-C9A17781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31</Pages>
  <Words>7911</Words>
  <Characters>42716</Characters>
  <Application>Microsoft Office Word</Application>
  <DocSecurity>0</DocSecurity>
  <Lines>355</Lines>
  <Paragraphs>101</Paragraphs>
  <ScaleCrop>false</ScaleCrop>
  <HeadingPairs>
    <vt:vector size="2" baseType="variant">
      <vt:variant>
        <vt:lpstr>Title</vt:lpstr>
      </vt:variant>
      <vt:variant>
        <vt:i4>1</vt:i4>
      </vt:variant>
    </vt:vector>
  </HeadingPairs>
  <TitlesOfParts>
    <vt:vector size="1" baseType="lpstr">
      <vt:lpstr/>
    </vt:vector>
  </TitlesOfParts>
  <Company>Sheffield University Management School</Company>
  <LinksUpToDate>false</LinksUpToDate>
  <CharactersWithSpaces>50526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mg1sjs</dc:creator>
  <cp:lastModifiedBy>Stewart Smyth</cp:lastModifiedBy>
  <cp:revision>17</cp:revision>
  <cp:lastPrinted>2015-03-18T20:08:00Z</cp:lastPrinted>
  <dcterms:created xsi:type="dcterms:W3CDTF">2015-09-09T16:06:00Z</dcterms:created>
  <dcterms:modified xsi:type="dcterms:W3CDTF">2015-09-10T09:54:00Z</dcterms:modified>
</cp:coreProperties>
</file>